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598" w14:textId="5AEF8218" w:rsidR="00D05118" w:rsidRDefault="00D05118" w:rsidP="00D05118">
      <w:bookmarkStart w:id="0" w:name="_Hlk119590112"/>
      <w:r w:rsidRPr="00D05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ĆWICZENIE </w:t>
      </w:r>
      <w:r w:rsidR="00C36CA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05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05118">
        <w:rPr>
          <w:rFonts w:ascii="Times New Roman" w:hAnsi="Times New Roman" w:cs="Times New Roman"/>
          <w:b/>
          <w:sz w:val="24"/>
          <w:szCs w:val="24"/>
        </w:rPr>
        <w:t xml:space="preserve">Optymalizacja farmakokinetyki </w:t>
      </w:r>
      <w:proofErr w:type="spellStart"/>
      <w:r w:rsidRPr="00D05118">
        <w:rPr>
          <w:rFonts w:ascii="Times New Roman" w:hAnsi="Times New Roman" w:cs="Times New Roman"/>
          <w:b/>
          <w:sz w:val="24"/>
          <w:szCs w:val="24"/>
        </w:rPr>
        <w:t>gentamycyny</w:t>
      </w:r>
      <w:proofErr w:type="spellEnd"/>
      <w:r w:rsidRPr="00D05118">
        <w:rPr>
          <w:rFonts w:ascii="Times New Roman" w:hAnsi="Times New Roman" w:cs="Times New Roman"/>
          <w:b/>
          <w:sz w:val="24"/>
          <w:szCs w:val="24"/>
        </w:rPr>
        <w:t xml:space="preserve"> po podaniu wielokrotnym w postaci wlewu dożylnego i iniekcji domięśniowej</w:t>
      </w:r>
    </w:p>
    <w:p w14:paraId="2E972700" w14:textId="77777777" w:rsidR="00D05118" w:rsidRDefault="00D05118" w:rsidP="00D05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FEB5C" w14:textId="77777777" w:rsidR="00D05118" w:rsidRPr="00D05118" w:rsidRDefault="00D05118" w:rsidP="00D05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</w:t>
      </w:r>
      <w:r w:rsidRPr="00D0511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 xml:space="preserve"> </w:t>
      </w:r>
      <w:r w:rsidRPr="00D051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ćwiczenia</w:t>
      </w:r>
    </w:p>
    <w:p w14:paraId="18B529C0" w14:textId="62BA9ABC" w:rsidR="00D05118" w:rsidRPr="00D75C4A" w:rsidRDefault="00D75C4A" w:rsidP="00D051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4A">
        <w:rPr>
          <w:rFonts w:ascii="Times New Roman" w:eastAsia="Times New Roman" w:hAnsi="Times New Roman" w:cs="Times New Roman"/>
          <w:sz w:val="24"/>
          <w:szCs w:val="24"/>
        </w:rPr>
        <w:t xml:space="preserve">Analiza podania wielokrotnego wlewu dożylnego i iniekcji domięśniowej </w:t>
      </w:r>
      <w:proofErr w:type="spellStart"/>
      <w:r w:rsidRPr="00D75C4A">
        <w:rPr>
          <w:rFonts w:ascii="Times New Roman" w:eastAsia="Times New Roman" w:hAnsi="Times New Roman" w:cs="Times New Roman"/>
          <w:sz w:val="24"/>
          <w:szCs w:val="24"/>
        </w:rPr>
        <w:t>gentamycyny</w:t>
      </w:r>
      <w:proofErr w:type="spellEnd"/>
      <w:r w:rsidRPr="00D75C4A">
        <w:rPr>
          <w:rFonts w:ascii="Times New Roman" w:eastAsia="Times New Roman" w:hAnsi="Times New Roman" w:cs="Times New Roman"/>
          <w:sz w:val="24"/>
          <w:szCs w:val="24"/>
        </w:rPr>
        <w:t xml:space="preserve"> w modelu </w:t>
      </w:r>
      <w:proofErr w:type="spellStart"/>
      <w:r w:rsidRPr="00D75C4A">
        <w:rPr>
          <w:rFonts w:ascii="Times New Roman" w:eastAsia="Times New Roman" w:hAnsi="Times New Roman" w:cs="Times New Roman"/>
          <w:sz w:val="24"/>
          <w:szCs w:val="24"/>
        </w:rPr>
        <w:t>dwukompartmentowym</w:t>
      </w:r>
      <w:proofErr w:type="spellEnd"/>
      <w:r w:rsidRPr="00D75C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Optymalizacja schematów dawkowania na podstawie wyznaczonych parametrów farmakokinetycznych</w:t>
      </w:r>
    </w:p>
    <w:bookmarkEnd w:id="0"/>
    <w:p w14:paraId="790F7201" w14:textId="77777777" w:rsidR="00B65698" w:rsidRPr="00D05118" w:rsidRDefault="00B65698" w:rsidP="00D051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58699" w14:textId="77777777" w:rsidR="00D05118" w:rsidRPr="00D05118" w:rsidRDefault="00D05118" w:rsidP="00D0511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118">
        <w:rPr>
          <w:rFonts w:ascii="Times New Roman" w:eastAsia="Times New Roman" w:hAnsi="Times New Roman" w:cs="Times New Roman"/>
          <w:b/>
          <w:bCs/>
          <w:sz w:val="24"/>
          <w:szCs w:val="24"/>
        </w:rPr>
        <w:t>Wymagane</w:t>
      </w:r>
      <w:r w:rsidRPr="00D051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zagadnienia</w:t>
      </w:r>
    </w:p>
    <w:p w14:paraId="63598DB2" w14:textId="77777777" w:rsidR="00D05118" w:rsidRPr="00D05118" w:rsidRDefault="00D05118" w:rsidP="00D05118">
      <w:pPr>
        <w:widowControl w:val="0"/>
        <w:autoSpaceDE w:val="0"/>
        <w:autoSpaceDN w:val="0"/>
        <w:spacing w:before="43" w:after="0" w:line="276" w:lineRule="auto"/>
        <w:ind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8">
        <w:rPr>
          <w:rFonts w:ascii="Times New Roman" w:eastAsia="Times New Roman" w:hAnsi="Times New Roman" w:cs="Times New Roman"/>
          <w:sz w:val="24"/>
          <w:szCs w:val="24"/>
        </w:rPr>
        <w:t xml:space="preserve">Farmakokinetyka leku po podaniu wielokrotnym </w:t>
      </w:r>
      <w:r w:rsidR="00D75C4A">
        <w:rPr>
          <w:rFonts w:ascii="Times New Roman" w:eastAsia="Times New Roman" w:hAnsi="Times New Roman" w:cs="Times New Roman"/>
          <w:sz w:val="24"/>
          <w:szCs w:val="24"/>
        </w:rPr>
        <w:t>dożylnym i pozanaczyniowym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 xml:space="preserve"> w modelu jedno- i </w:t>
      </w:r>
      <w:proofErr w:type="spellStart"/>
      <w:r w:rsidRPr="00D05118">
        <w:rPr>
          <w:rFonts w:ascii="Times New Roman" w:eastAsia="Times New Roman" w:hAnsi="Times New Roman" w:cs="Times New Roman"/>
          <w:sz w:val="24"/>
          <w:szCs w:val="24"/>
        </w:rPr>
        <w:t>dwukompartmentowym</w:t>
      </w:r>
      <w:proofErr w:type="spellEnd"/>
      <w:r w:rsidRPr="00D05118">
        <w:rPr>
          <w:rFonts w:ascii="Times New Roman" w:eastAsia="Times New Roman" w:hAnsi="Times New Roman" w:cs="Times New Roman"/>
          <w:spacing w:val="-2"/>
          <w:sz w:val="24"/>
          <w:szCs w:val="24"/>
        </w:rPr>
        <w:t>; stan stacjonarny.</w:t>
      </w:r>
    </w:p>
    <w:p w14:paraId="7D9DD800" w14:textId="77777777" w:rsidR="00D05118" w:rsidRPr="00D05118" w:rsidRDefault="00D05118" w:rsidP="00D051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2B747F3F" w14:textId="77777777" w:rsidR="00D05118" w:rsidRPr="00D05118" w:rsidRDefault="00D05118" w:rsidP="00D051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18">
        <w:rPr>
          <w:rFonts w:ascii="Times New Roman" w:eastAsia="Times New Roman" w:hAnsi="Times New Roman" w:cs="Times New Roman"/>
          <w:b/>
          <w:sz w:val="24"/>
          <w:szCs w:val="24"/>
        </w:rPr>
        <w:t>Opracowanie:</w:t>
      </w:r>
      <w:r w:rsidRPr="00D05118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prof.</w:t>
      </w:r>
      <w:r w:rsidRPr="00D051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D051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hab.</w:t>
      </w:r>
      <w:r w:rsidRPr="00D051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Franciszek</w:t>
      </w:r>
      <w:r w:rsidRPr="00D051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Główka,</w:t>
      </w:r>
      <w:r w:rsidRPr="00D051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D051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hab.</w:t>
      </w:r>
      <w:r w:rsidRPr="00D051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Marta</w:t>
      </w:r>
      <w:r w:rsidRPr="00D051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5118">
        <w:rPr>
          <w:rFonts w:ascii="Times New Roman" w:eastAsia="Times New Roman" w:hAnsi="Times New Roman" w:cs="Times New Roman"/>
          <w:sz w:val="24"/>
          <w:szCs w:val="24"/>
        </w:rPr>
        <w:t>Karaźniewicz-</w:t>
      </w:r>
      <w:r w:rsidRPr="00D05118">
        <w:rPr>
          <w:rFonts w:ascii="Times New Roman" w:eastAsia="Times New Roman" w:hAnsi="Times New Roman" w:cs="Times New Roman"/>
          <w:spacing w:val="-4"/>
          <w:sz w:val="24"/>
          <w:szCs w:val="24"/>
        </w:rPr>
        <w:t>Łada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dr hab. Michał Romański, dr hab. Andrzej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Czyrski</w:t>
      </w:r>
      <w:proofErr w:type="spellEnd"/>
    </w:p>
    <w:p w14:paraId="2F42687B" w14:textId="77777777" w:rsidR="00D05118" w:rsidRPr="00D05118" w:rsidRDefault="00D05118" w:rsidP="00D051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21AF134C" w14:textId="77777777" w:rsidR="00D05118" w:rsidRPr="00D05118" w:rsidRDefault="00D05118" w:rsidP="00D05118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1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Wprowadzenie</w:t>
      </w:r>
    </w:p>
    <w:p w14:paraId="10A7CE9A" w14:textId="50898B27" w:rsidR="00620554" w:rsidRDefault="00620554" w:rsidP="00620554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 Farmakokinetyka podania wielokrotnego w modelu </w:t>
      </w:r>
      <w:proofErr w:type="spellStart"/>
      <w:r>
        <w:rPr>
          <w:rFonts w:ascii="Times New Roman" w:hAnsi="Times New Roman"/>
          <w:b/>
          <w:sz w:val="24"/>
          <w:szCs w:val="24"/>
        </w:rPr>
        <w:t>jednokompartmentowym</w:t>
      </w:r>
      <w:proofErr w:type="spellEnd"/>
    </w:p>
    <w:p w14:paraId="10AD9DF3" w14:textId="77777777" w:rsidR="00620554" w:rsidRDefault="00620554" w:rsidP="00620554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Stan stacjonarny</w:t>
      </w:r>
    </w:p>
    <w:p w14:paraId="6F912900" w14:textId="77777777" w:rsidR="00620554" w:rsidRDefault="00620554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Podawanie zdecydowanej większości leków, zwłaszcza tych stosowanych w chorobach przewlekłych, powtarza się wielokrotnie w określonych przedziałach dawkowania </w:t>
      </w:r>
      <w:r>
        <w:rPr>
          <w:rFonts w:ascii="Times New Roman" w:hAnsi="Times New Roman"/>
          <w:i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 xml:space="preserve"> (tau), krótszych od czasu potrzebnego na całkowitą eliminację leku (5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0,5</w:t>
      </w:r>
      <w:r>
        <w:rPr>
          <w:rFonts w:ascii="Times New Roman" w:hAnsi="Times New Roman"/>
          <w:sz w:val="24"/>
          <w:szCs w:val="24"/>
        </w:rPr>
        <w:t xml:space="preserve">). Prowadzi to do kumulacji leku w organizmie i uzyskania tzw. stanu stacjonarnego (ang. </w:t>
      </w:r>
      <w:proofErr w:type="spellStart"/>
      <w:r>
        <w:rPr>
          <w:rFonts w:ascii="Times New Roman" w:hAnsi="Times New Roman"/>
          <w:i/>
          <w:sz w:val="24"/>
          <w:szCs w:val="24"/>
        </w:rPr>
        <w:t>steady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2EDEC7E8" w14:textId="77777777" w:rsidR="00620554" w:rsidRDefault="00620554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Istotą stanu stacjonarnego podczas wielokrotnego podawania leku jest zrównanie się szybkości dawkowania (ang. </w:t>
      </w:r>
      <w:proofErr w:type="spellStart"/>
      <w:r>
        <w:rPr>
          <w:rFonts w:ascii="Times New Roman" w:hAnsi="Times New Roman"/>
          <w:i/>
          <w:sz w:val="24"/>
          <w:szCs w:val="24"/>
        </w:rPr>
        <w:t>dosing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DR) ze średnią szybkością eliminacji leku (</w:t>
      </w:r>
      <w:r w:rsidR="004F465F" w:rsidRPr="004F465F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180" w:dyaOrig="300" w14:anchorId="1082C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5pt;height:14.2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30276256" r:id="rId9"/>
        </w:object>
      </w:r>
      <w:r>
        <w:rPr>
          <w:rFonts w:ascii="Times New Roman" w:hAnsi="Times New Roman"/>
          <w:sz w:val="24"/>
          <w:szCs w:val="24"/>
        </w:rPr>
        <w:t>):</w:t>
      </w:r>
    </w:p>
    <w:p w14:paraId="33A7E021" w14:textId="4D059F60" w:rsidR="00620554" w:rsidRDefault="004F465F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465F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760" w:dyaOrig="300" w14:anchorId="03834E0F">
          <v:shape id="_x0000_i1026" type="#_x0000_t75" alt="" style="width:36pt;height:14.2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30276257" r:id="rId11"/>
        </w:object>
      </w:r>
      <w:r w:rsidR="00620554">
        <w:rPr>
          <w:rFonts w:ascii="Times New Roman" w:hAnsi="Times New Roman"/>
          <w:sz w:val="24"/>
          <w:szCs w:val="24"/>
        </w:rPr>
        <w:tab/>
      </w:r>
      <w:r w:rsidR="00620554">
        <w:rPr>
          <w:rFonts w:ascii="Times New Roman" w:hAnsi="Times New Roman"/>
          <w:sz w:val="24"/>
          <w:szCs w:val="24"/>
        </w:rPr>
        <w:tab/>
        <w:t>(9.1)</w:t>
      </w:r>
    </w:p>
    <w:p w14:paraId="4A4E2B74" w14:textId="77777777" w:rsidR="00620554" w:rsidRDefault="00620554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czym:</w:t>
      </w:r>
    </w:p>
    <w:p w14:paraId="33E5D656" w14:textId="77777777" w:rsidR="00620554" w:rsidRDefault="004F465F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465F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900" w:dyaOrig="620" w14:anchorId="5F564A84">
          <v:shape id="_x0000_i1027" type="#_x0000_t75" alt="" style="width:42.75pt;height:29.25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730276258" r:id="rId13"/>
        </w:object>
      </w:r>
      <w:r w:rsidR="00620554">
        <w:rPr>
          <w:rFonts w:ascii="Times New Roman" w:hAnsi="Times New Roman"/>
          <w:sz w:val="24"/>
          <w:szCs w:val="24"/>
        </w:rPr>
        <w:t xml:space="preserve">(iv) lub </w:t>
      </w:r>
      <w:r w:rsidRPr="004F465F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1200" w:dyaOrig="620" w14:anchorId="0C759306">
          <v:shape id="_x0000_i1028" type="#_x0000_t75" alt="" style="width:57.75pt;height:29.25pt;mso-width-percent:0;mso-height-percent:0;mso-width-percent:0;mso-height-percent:0" o:ole="">
            <v:imagedata r:id="rId14" o:title=""/>
          </v:shape>
          <o:OLEObject Type="Embed" ProgID="Equation.3" ShapeID="_x0000_i1028" DrawAspect="Content" ObjectID="_1730276259" r:id="rId15"/>
        </w:object>
      </w:r>
      <w:r w:rsidR="006205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20554">
        <w:rPr>
          <w:rFonts w:ascii="Times New Roman" w:hAnsi="Times New Roman"/>
          <w:sz w:val="24"/>
          <w:szCs w:val="24"/>
        </w:rPr>
        <w:t>n.iv</w:t>
      </w:r>
      <w:proofErr w:type="spellEnd"/>
      <w:r w:rsidR="00620554">
        <w:rPr>
          <w:rFonts w:ascii="Times New Roman" w:hAnsi="Times New Roman"/>
          <w:sz w:val="24"/>
          <w:szCs w:val="24"/>
        </w:rPr>
        <w:t>);</w:t>
      </w:r>
    </w:p>
    <w:p w14:paraId="135C68E0" w14:textId="77777777" w:rsidR="00620554" w:rsidRDefault="004F465F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465F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1000" w:dyaOrig="360" w14:anchorId="1596121E">
          <v:shape id="_x0000_i1029" type="#_x0000_t75" alt="" style="width:50.25pt;height:21.75pt;mso-width-percent:0;mso-height-percent:0;mso-width-percent:0;mso-height-percent:0" o:ole="">
            <v:imagedata r:id="rId16" o:title=""/>
          </v:shape>
          <o:OLEObject Type="Embed" ProgID="Equation.3" ShapeID="_x0000_i1029" DrawAspect="Content" ObjectID="_1730276260" r:id="rId17"/>
        </w:object>
      </w:r>
      <w:r w:rsidR="00620554">
        <w:rPr>
          <w:rFonts w:ascii="Times New Roman" w:hAnsi="Times New Roman"/>
          <w:sz w:val="24"/>
          <w:szCs w:val="24"/>
        </w:rPr>
        <w:t xml:space="preserve">; gdzie </w:t>
      </w:r>
      <w:r w:rsidRPr="004F465F">
        <w:rPr>
          <w:rFonts w:ascii="Times New Roman" w:eastAsia="Calibri" w:hAnsi="Times New Roman" w:cs="Times New Roman"/>
          <w:noProof/>
          <w:position w:val="-4"/>
          <w:sz w:val="24"/>
          <w:szCs w:val="24"/>
        </w:rPr>
        <w:object w:dxaOrig="280" w:dyaOrig="280" w14:anchorId="3941C092">
          <v:shape id="_x0000_i1030" type="#_x0000_t75" alt="" style="width:14.25pt;height:14.25pt;mso-width-percent:0;mso-height-percent:0;mso-width-percent:0;mso-height-percent:0" o:ole="">
            <v:imagedata r:id="rId18" o:title=""/>
          </v:shape>
          <o:OLEObject Type="Embed" ProgID="Equation.3" ShapeID="_x0000_i1030" DrawAspect="Content" ObjectID="_1730276261" r:id="rId19"/>
        </w:object>
      </w:r>
      <w:r w:rsidR="00620554">
        <w:rPr>
          <w:rFonts w:ascii="Times New Roman" w:hAnsi="Times New Roman"/>
          <w:sz w:val="24"/>
          <w:szCs w:val="24"/>
        </w:rPr>
        <w:t xml:space="preserve"> oznacza średnią ilość leku w organizmie w stanie stacjonarnym.</w:t>
      </w:r>
    </w:p>
    <w:p w14:paraId="5B3025BA" w14:textId="1439F7EB" w:rsidR="00620554" w:rsidRPr="00E74030" w:rsidRDefault="00620554" w:rsidP="00E74030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stanie stacjonarnym następuje wysycenie tkanek lekiem i ustalenie się równowagi między stężeniami leku we krwi i w tkankach, oraz w </w:t>
      </w:r>
      <w:proofErr w:type="spellStart"/>
      <w:r>
        <w:rPr>
          <w:rFonts w:ascii="Times New Roman" w:hAnsi="Times New Roman"/>
          <w:sz w:val="24"/>
          <w:szCs w:val="24"/>
        </w:rPr>
        <w:t>biofazie</w:t>
      </w:r>
      <w:proofErr w:type="spellEnd"/>
      <w:r>
        <w:rPr>
          <w:rFonts w:ascii="Times New Roman" w:hAnsi="Times New Roman"/>
          <w:sz w:val="24"/>
          <w:szCs w:val="24"/>
        </w:rPr>
        <w:t xml:space="preserve"> (nie oznacza to jednak równości stężeń). Równowadze tej odpowiada największa korelacja pomiędzy stężeniem leku we krwi, a jego działaniem na receptor. Stężenie leku we krwi oscyluje między wartością maksymalną (</w:t>
      </w:r>
      <w:r w:rsidR="004F465F" w:rsidRPr="004F465F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480" w:dyaOrig="360" w14:anchorId="2A85794E">
          <v:shape id="_x0000_i1031" type="#_x0000_t75" alt="" style="width:21.75pt;height:21.75pt;mso-width-percent:0;mso-height-percent:0;mso-width-percent:0;mso-height-percent:0" o:ole="">
            <v:imagedata r:id="rId20" o:title=""/>
          </v:shape>
          <o:OLEObject Type="Embed" ProgID="Equation.3" ShapeID="_x0000_i1031" DrawAspect="Content" ObjectID="_1730276262" r:id="rId21"/>
        </w:object>
      </w:r>
      <w:r>
        <w:rPr>
          <w:rFonts w:ascii="Times New Roman" w:hAnsi="Times New Roman"/>
          <w:sz w:val="24"/>
          <w:szCs w:val="24"/>
        </w:rPr>
        <w:t>) i minimalną (</w:t>
      </w:r>
      <w:r w:rsidR="004F465F" w:rsidRPr="004F465F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460" w:dyaOrig="360" w14:anchorId="5D8B7E20">
          <v:shape id="_x0000_i1032" type="#_x0000_t75" alt="" style="width:21.75pt;height:21.75pt;mso-width-percent:0;mso-height-percent:0;mso-width-percent:0;mso-height-percent:0" o:ole="">
            <v:imagedata r:id="rId22" o:title=""/>
          </v:shape>
          <o:OLEObject Type="Embed" ProgID="Equation.3" ShapeID="_x0000_i1032" DrawAspect="Content" ObjectID="_1730276263" r:id="rId23"/>
        </w:object>
      </w:r>
      <w:r>
        <w:rPr>
          <w:rFonts w:ascii="Times New Roman" w:hAnsi="Times New Roman"/>
          <w:sz w:val="24"/>
          <w:szCs w:val="24"/>
        </w:rPr>
        <w:t>), ale w dowolnym czasie po podaniu kolejnej dawki jest takie samo w każdym przedziale dawkowania (Ryc. 9.1 i 9.2).</w:t>
      </w:r>
      <w:r w:rsidR="00E74030" w:rsidRPr="00E7403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74030">
        <w:rPr>
          <w:rFonts w:ascii="Times New Roman" w:eastAsiaTheme="minorEastAsia" w:hAnsi="Times New Roman"/>
          <w:sz w:val="24"/>
          <w:szCs w:val="24"/>
        </w:rPr>
        <w:t>Co ciekawe, pole powierzchni pod krzywą zależności C=f(t) w obrębie jednego przedziału dawkowania w stanie stacjonarnym (</w:t>
      </w:r>
      <w:proofErr w:type="spellStart"/>
      <w:r w:rsidR="00E74030">
        <w:rPr>
          <w:rFonts w:ascii="Times New Roman" w:eastAsiaTheme="minorEastAsia" w:hAnsi="Times New Roman"/>
          <w:sz w:val="24"/>
          <w:szCs w:val="24"/>
        </w:rPr>
        <w:t>AUC</w:t>
      </w:r>
      <w:r w:rsidR="00E74030" w:rsidRPr="00E74030">
        <w:rPr>
          <w:rFonts w:ascii="Times New Roman" w:eastAsiaTheme="minorEastAsia" w:hAnsi="Times New Roman"/>
          <w:sz w:val="24"/>
          <w:szCs w:val="24"/>
          <w:vertAlign w:val="subscript"/>
        </w:rPr>
        <w:t>ss</w:t>
      </w:r>
      <w:proofErr w:type="spellEnd"/>
      <w:r w:rsidR="00E74030">
        <w:rPr>
          <w:rFonts w:ascii="Times New Roman" w:eastAsiaTheme="minorEastAsia" w:hAnsi="Times New Roman"/>
          <w:sz w:val="24"/>
          <w:szCs w:val="24"/>
        </w:rPr>
        <w:t>) równe jest polu po jednorazowym podaniu tego leku (AUC</w:t>
      </w:r>
      <w:r w:rsidR="00E74030" w:rsidRPr="00E74030">
        <w:rPr>
          <w:rFonts w:ascii="Times New Roman" w:eastAsiaTheme="minorEastAsia" w:hAnsi="Times New Roman"/>
          <w:sz w:val="24"/>
          <w:szCs w:val="24"/>
          <w:vertAlign w:val="subscript"/>
        </w:rPr>
        <w:t>0-</w:t>
      </w:r>
      <w:r w:rsidR="00E74030" w:rsidRPr="00E74030">
        <w:rPr>
          <w:rFonts w:ascii="Times New Roman" w:eastAsiaTheme="minorEastAsia" w:hAnsi="Times New Roman"/>
          <w:sz w:val="24"/>
          <w:szCs w:val="24"/>
          <w:vertAlign w:val="subscript"/>
        </w:rPr>
        <w:sym w:font="Symbol" w:char="F0A5"/>
      </w:r>
      <w:r w:rsidR="00E74030">
        <w:rPr>
          <w:rFonts w:ascii="Times New Roman" w:eastAsiaTheme="minorEastAsia" w:hAnsi="Times New Roman"/>
          <w:sz w:val="24"/>
          <w:szCs w:val="24"/>
        </w:rPr>
        <w:t>).</w:t>
      </w:r>
    </w:p>
    <w:p w14:paraId="61242DEE" w14:textId="77777777" w:rsidR="00620554" w:rsidRDefault="00620554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Czas ustalania się stanu stacjonarnego zależy od biologicznego okresu półtrwania leku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0,5</w:t>
      </w:r>
      <w:r>
        <w:rPr>
          <w:rFonts w:ascii="Times New Roman" w:hAnsi="Times New Roman"/>
          <w:sz w:val="24"/>
          <w:szCs w:val="24"/>
        </w:rPr>
        <w:t xml:space="preserve">. Z teorii kumulacji wynika, że jeśli lek podaje się w przedziale dawkowania </w:t>
      </w:r>
      <w:r>
        <w:rPr>
          <w:rFonts w:ascii="Times New Roman" w:hAnsi="Times New Roman"/>
          <w:i/>
          <w:sz w:val="24"/>
          <w:szCs w:val="24"/>
        </w:rPr>
        <w:t>τ = t</w:t>
      </w:r>
      <w:r>
        <w:rPr>
          <w:rFonts w:ascii="Times New Roman" w:hAnsi="Times New Roman"/>
          <w:i/>
          <w:sz w:val="24"/>
          <w:szCs w:val="24"/>
          <w:vertAlign w:val="subscript"/>
        </w:rPr>
        <w:t>0,5</w:t>
      </w:r>
      <w:r>
        <w:rPr>
          <w:rFonts w:ascii="Times New Roman" w:hAnsi="Times New Roman"/>
          <w:sz w:val="24"/>
          <w:szCs w:val="24"/>
        </w:rPr>
        <w:t xml:space="preserve">, wówczas 97% wartości stężenia charakterystycznego dla stanu stacjonarnego osiąga się po upływie pięciu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0,5</w:t>
      </w:r>
      <w:r>
        <w:rPr>
          <w:rFonts w:ascii="Times New Roman" w:hAnsi="Times New Roman"/>
          <w:sz w:val="24"/>
          <w:szCs w:val="24"/>
        </w:rPr>
        <w:t xml:space="preserve">. Stąd przyjmuje się, że stan stacjonarny ustala się po czasie równym 5 – 7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0,5</w:t>
      </w:r>
      <w:r>
        <w:rPr>
          <w:rFonts w:ascii="Times New Roman" w:hAnsi="Times New Roman"/>
          <w:sz w:val="24"/>
          <w:szCs w:val="24"/>
        </w:rPr>
        <w:t>.</w:t>
      </w:r>
    </w:p>
    <w:p w14:paraId="4402E9BD" w14:textId="77777777" w:rsidR="00620554" w:rsidRDefault="00620554" w:rsidP="00620554">
      <w:pPr>
        <w:spacing w:after="0" w:line="276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Schemat wielokrotnego dawkowania leku powinien być ustalony w taki sposób, aby zmiany jego stężenia w stanie stacjonarnym mieściły się w oknie terapeutycznym. Błędny schemat podawania leku będzie również skutkował uzyskaniem stanu stacjonarnego, ale charakteryzującego się nieodpowiednimi wartościami </w:t>
      </w:r>
      <w:r w:rsidR="004F465F" w:rsidRPr="004F465F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480" w:dyaOrig="360" w14:anchorId="4B7274D4">
          <v:shape id="_x0000_i1033" type="#_x0000_t75" alt="" style="width:21.75pt;height:21.75pt;mso-width-percent:0;mso-height-percent:0;mso-width-percent:0;mso-height-percent:0" o:ole="">
            <v:imagedata r:id="rId20" o:title=""/>
          </v:shape>
          <o:OLEObject Type="Embed" ProgID="Equation.3" ShapeID="_x0000_i1033" DrawAspect="Content" ObjectID="_1730276264" r:id="rId24"/>
        </w:object>
      </w:r>
      <w:r>
        <w:rPr>
          <w:rFonts w:ascii="Times New Roman" w:hAnsi="Times New Roman"/>
          <w:sz w:val="24"/>
          <w:szCs w:val="24"/>
        </w:rPr>
        <w:t xml:space="preserve"> i </w:t>
      </w:r>
      <w:r w:rsidR="004F465F" w:rsidRPr="004F465F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460" w:dyaOrig="360" w14:anchorId="00F8D5BE">
          <v:shape id="_x0000_i1034" type="#_x0000_t75" alt="" style="width:21.75pt;height:21.75pt;mso-width-percent:0;mso-height-percent:0;mso-width-percent:0;mso-height-percent:0" o:ole="">
            <v:imagedata r:id="rId22" o:title=""/>
          </v:shape>
          <o:OLEObject Type="Embed" ProgID="Equation.3" ShapeID="_x0000_i1034" DrawAspect="Content" ObjectID="_1730276265" r:id="rId25"/>
        </w:object>
      </w:r>
      <w:r>
        <w:rPr>
          <w:rFonts w:ascii="Times New Roman" w:hAnsi="Times New Roman"/>
          <w:sz w:val="24"/>
          <w:szCs w:val="24"/>
        </w:rPr>
        <w:t xml:space="preserve">. Wówczas pacjent, mimo uzyskanego stanu stacjonarnego, nie jest leczony prawidłowo. Warto jednak nadmienić, że istnieją schematy terapeutyczne, w których leki podaje się wielokrotnie, ale z zachowaniem tak długich przedziałów dawkowania, że nie uzyskuje się stanu stacjonarnego. Przykładem jest tzw. terapia </w:t>
      </w:r>
      <w:proofErr w:type="spellStart"/>
      <w:r>
        <w:rPr>
          <w:rFonts w:ascii="Times New Roman" w:hAnsi="Times New Roman"/>
          <w:sz w:val="24"/>
          <w:szCs w:val="24"/>
        </w:rPr>
        <w:t>pulsowa</w:t>
      </w:r>
      <w:proofErr w:type="spellEnd"/>
      <w:r>
        <w:rPr>
          <w:rFonts w:ascii="Times New Roman" w:hAnsi="Times New Roman"/>
          <w:sz w:val="24"/>
          <w:szCs w:val="24"/>
        </w:rPr>
        <w:t xml:space="preserve"> antybiotykami </w:t>
      </w:r>
      <w:proofErr w:type="spellStart"/>
      <w:r>
        <w:rPr>
          <w:rFonts w:ascii="Times New Roman" w:hAnsi="Times New Roman"/>
          <w:sz w:val="24"/>
          <w:szCs w:val="24"/>
        </w:rPr>
        <w:t>aminoglikozydowymi</w:t>
      </w:r>
      <w:proofErr w:type="spellEnd"/>
      <w:r>
        <w:rPr>
          <w:rFonts w:ascii="Times New Roman" w:hAnsi="Times New Roman"/>
          <w:sz w:val="24"/>
          <w:szCs w:val="24"/>
        </w:rPr>
        <w:t xml:space="preserve"> (t</w:t>
      </w:r>
      <w:r>
        <w:rPr>
          <w:rFonts w:ascii="Times New Roman" w:hAnsi="Times New Roman"/>
          <w:sz w:val="24"/>
          <w:szCs w:val="24"/>
          <w:vertAlign w:val="subscript"/>
        </w:rPr>
        <w:t>0,5</w:t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3 h), podczas której lek podaje się co 24 h.</w:t>
      </w:r>
    </w:p>
    <w:p w14:paraId="3ECDCF2D" w14:textId="77777777" w:rsidR="00620554" w:rsidRDefault="00620554" w:rsidP="00620554">
      <w:pPr>
        <w:tabs>
          <w:tab w:val="left" w:pos="1134"/>
        </w:tabs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891D12E" w14:textId="3FC434DC" w:rsidR="00620554" w:rsidRDefault="00620554" w:rsidP="00620554">
      <w:pPr>
        <w:spacing w:after="0" w:line="276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9.1.</w:t>
      </w:r>
      <w:r w:rsidR="00F13FCC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Wielokrotne dawki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donaczyniowe</w:t>
      </w:r>
      <w:proofErr w:type="spellEnd"/>
    </w:p>
    <w:p w14:paraId="0D12B7C4" w14:textId="77777777" w:rsidR="00620554" w:rsidRDefault="00620554" w:rsidP="00620554">
      <w:pPr>
        <w:tabs>
          <w:tab w:val="left" w:pos="1134"/>
        </w:tabs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Podczas dawkowania leku w postaci bolusów dożylnych, wartości maksymalnego </w:t>
      </w:r>
      <w:r>
        <w:rPr>
          <w:rFonts w:ascii="Times New Roman" w:eastAsiaTheme="minorEastAsia" w:hAnsi="Times New Roman"/>
          <w:sz w:val="24"/>
          <w:szCs w:val="24"/>
        </w:rPr>
        <w:br/>
        <w:t>i minimalnego stężenia leku w stanie stacjonarnym opisują wzory:</w:t>
      </w:r>
    </w:p>
    <w:p w14:paraId="22209CF7" w14:textId="0E6FDBBF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</m:t>
                </m:r>
              </m:sup>
            </m:sSup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(9.2)</w:t>
      </w:r>
    </w:p>
    <w:p w14:paraId="58328380" w14:textId="36FBD2DF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</m:t>
                </m:r>
              </m:sup>
            </m:sSup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(9.3)</w:t>
      </w:r>
    </w:p>
    <w:p w14:paraId="24EBA230" w14:textId="6F03A68D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Odejmując równanie 9.3 od równania 9.2 uzyskujemy informację, że różnica pomiędzy powyższymi stężeniami równa jest stężeniu początkowemu C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niezależnie od wartości k, t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0,5</w:t>
      </w:r>
      <w:r>
        <w:rPr>
          <w:rFonts w:ascii="Times New Roman" w:eastAsiaTheme="minorEastAsia" w:hAnsi="Times New Roman"/>
          <w:sz w:val="24"/>
          <w:szCs w:val="24"/>
        </w:rPr>
        <w:t xml:space="preserve"> oraz τ:</w:t>
      </w:r>
    </w:p>
    <w:p w14:paraId="7EB9D95C" w14:textId="77777777" w:rsidR="00620554" w:rsidRDefault="00F71E96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max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ss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min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ss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τ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τ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14:paraId="3AD49B07" w14:textId="04CAED2D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52C7CA3" wp14:editId="77F98C52">
            <wp:extent cx="5502275" cy="3438525"/>
            <wp:effectExtent l="0" t="0" r="0" b="317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eastAsiaTheme="minorEastAsia" w:hAnsi="Times New Roman"/>
          <w:sz w:val="20"/>
          <w:szCs w:val="20"/>
        </w:rPr>
        <w:t xml:space="preserve">  Ryc. 9.1. Wykres zależności C = f(t) dla wielokrotnego podania dożylnego. Okno terapeutyczne zaznaczone jest za pomocą linii przerywanej.</w:t>
      </w:r>
    </w:p>
    <w:p w14:paraId="094C3815" w14:textId="6EF52976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Stopień fluktuacji stężeń w stanie stacjonarnym po podaniu wielokrotnym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/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>) jest uzależniony od parametrów eliminacji, takich jak k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/>
          <w:sz w:val="24"/>
          <w:szCs w:val="24"/>
        </w:rPr>
        <w:t xml:space="preserve"> oraz t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0,5</w:t>
      </w:r>
      <w:r>
        <w:rPr>
          <w:rFonts w:ascii="Times New Roman" w:eastAsiaTheme="minorEastAsia" w:hAnsi="Times New Roman"/>
          <w:sz w:val="24"/>
          <w:szCs w:val="24"/>
        </w:rPr>
        <w:t>, a także od przedziału dawkowania; nie zależy od wielkości podanej dawki. Wielkość kumulacji leku w organizmie jest natomiast wprost proporcjonalna do jego t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0,5</w:t>
      </w:r>
      <w:r>
        <w:rPr>
          <w:rFonts w:ascii="Times New Roman" w:eastAsiaTheme="minorEastAsia" w:hAnsi="Times New Roman"/>
          <w:sz w:val="24"/>
          <w:szCs w:val="24"/>
        </w:rPr>
        <w:t xml:space="preserve">, dawki i częstości podawania leku. </w:t>
      </w:r>
      <w:r>
        <w:rPr>
          <w:rFonts w:ascii="Times New Roman" w:eastAsiaTheme="minorEastAsia" w:hAnsi="Times New Roman"/>
          <w:sz w:val="24"/>
          <w:szCs w:val="24"/>
        </w:rPr>
        <w:br/>
        <w:t>W przypadku gdy τ = t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0,5</w:t>
      </w:r>
      <w:r>
        <w:rPr>
          <w:rFonts w:ascii="Times New Roman" w:eastAsiaTheme="minorEastAsia" w:hAnsi="Times New Roman"/>
          <w:sz w:val="24"/>
          <w:szCs w:val="24"/>
        </w:rPr>
        <w:t xml:space="preserve">, ilość leku w stanie stacjonarnym oscyluje pomiędzy wartościami D </w:t>
      </w:r>
      <w:r>
        <w:rPr>
          <w:rFonts w:ascii="Times New Roman" w:eastAsiaTheme="minorEastAsia" w:hAnsi="Times New Roman"/>
          <w:sz w:val="24"/>
          <w:szCs w:val="24"/>
        </w:rPr>
        <w:br/>
        <w:t xml:space="preserve">i 2D, a stężenie maksymalne jest równe dwukrotnej wartości stężenia minimalnego. </w:t>
      </w:r>
    </w:p>
    <w:p w14:paraId="4C103D9E" w14:textId="77777777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14:paraId="2618B4E3" w14:textId="77777777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Średnie stężenie leku w stanie stacjonarnym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opisuje następującą zależność:</w:t>
      </w:r>
    </w:p>
    <w:p w14:paraId="1CE01DD1" w14:textId="4FE5B7CC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∙τ∙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sub>
            </m:sSub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 (9.4)</w:t>
      </w:r>
    </w:p>
    <w:p w14:paraId="5CE49AFD" w14:textId="77777777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Z równania tego wynika, że jeżeli uzyskujemy wartość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po podaniu dawki D w przedziale dawkowania τ, to chcąc uzyskać tę samą wartość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po podaniu dawki wynoszącej 0,5 D należy ją podać w przedziale dawkowania dwa razy krótszym. Im krótszy przedział dawkowania, tym mniejsze oscylacje między wartościami stężeń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 i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>. Granicznym przypadkiem jest wlew dożylny, gdzie przedział dawkowania ma nieskończenie małą wartość i w związku z tym stężenie leku w stanie stacjonarnym jest stałe podczas jego trwania.</w:t>
      </w:r>
    </w:p>
    <w:p w14:paraId="491AC15D" w14:textId="70E200FD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Wartość stężenia leku we krwi równą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/>
          <w:sz w:val="24"/>
          <w:szCs w:val="24"/>
        </w:rPr>
        <w:t>można osiągnąć od razu po podaniu tzw. dawki inicjującej (D*). Jest ona zawsze większa od dawki podtrzymującej. Jeśli dawka inicjująca podawana jest w postaci bolusa dożylnego, jej wielkość można w prosty sposób obliczyć, znając objętość dystrybucji leku</w:t>
      </w:r>
      <w:r w:rsidR="00F13FCC">
        <w:rPr>
          <w:rFonts w:ascii="Times New Roman" w:eastAsiaTheme="minorEastAsia" w:hAnsi="Times New Roman"/>
          <w:sz w:val="24"/>
          <w:szCs w:val="24"/>
        </w:rPr>
        <w:t>:</w:t>
      </w:r>
    </w:p>
    <w:p w14:paraId="294CD86E" w14:textId="6C8582C1" w:rsidR="00F13FCC" w:rsidRDefault="00F71E96" w:rsidP="00F13FCC">
      <w:pPr>
        <w:tabs>
          <w:tab w:val="left" w:pos="1134"/>
        </w:tabs>
        <w:jc w:val="center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 w:rsidR="00F13FCC">
        <w:rPr>
          <w:rFonts w:ascii="Times New Roman" w:eastAsiaTheme="minorEastAsia" w:hAnsi="Times New Roman"/>
          <w:sz w:val="24"/>
          <w:szCs w:val="24"/>
        </w:rPr>
        <w:t xml:space="preserve">                    (9.5)</w:t>
      </w:r>
    </w:p>
    <w:p w14:paraId="2278E461" w14:textId="77777777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Podczas ustalania schematu dawkowania leku dla pacjenta, w pierwszej kolejności należy obliczyć właściwy przedział dawkowania, a następnie odpowiednią dawkę podtrzymującą. Przedział dawkowania należy dobrać w taki sposób, aby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 oraz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 mieściły się w oknie terapeutycznym. Korzystamy wówczas z poniższej zależności:</w:t>
      </w:r>
    </w:p>
    <w:p w14:paraId="12DE1DAE" w14:textId="7240702D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τ=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max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ss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min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ss</m:t>
                    </m:r>
                  </m:sup>
                </m:sSubSup>
              </m:den>
            </m:f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sub>
            </m:sSub>
          </m:den>
        </m:f>
      </m:oMath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   (9.</w:t>
      </w:r>
      <w:r w:rsidR="00F13FCC">
        <w:rPr>
          <w:rFonts w:ascii="Times New Roman" w:eastAsiaTheme="minorEastAsia" w:hAnsi="Times New Roman"/>
          <w:sz w:val="24"/>
          <w:szCs w:val="24"/>
        </w:rPr>
        <w:t>6</w:t>
      </w:r>
      <w:r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</w:rPr>
        <w:tab/>
      </w:r>
    </w:p>
    <w:p w14:paraId="6E2557C7" w14:textId="6794CA22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Jeżeli obliczona wartość τ jest mało realna do zastosowania ze względów praktycznych, należy wówczas zastosować wartość mniejszą, bardziej wygodną dla pacjenta (np. podanie leku co 8 godzin zamiast co 10 godzin). Następnie ze wzoru 9.4 należy obliczyć dawkę podtrzymującą, która zapewni pożądane średnie stężenie leku w stanie stacjonarnym.</w:t>
      </w:r>
    </w:p>
    <w:p w14:paraId="29A556A5" w14:textId="77777777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W przypadku farmakokinetyki liniowej korektę dawki można przeprowadzić na podstawie jednego pomiaru stężenia leku oznaczonego w stanie stacjonarnym. Korzystamy wówczas z zależności:</w:t>
      </w:r>
    </w:p>
    <w:p w14:paraId="46F9BA67" w14:textId="3437A6A9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ss</m:t>
                </m:r>
              </m:sup>
            </m:sSubSup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(9.</w:t>
      </w:r>
      <w:r w:rsidR="00F13FCC">
        <w:rPr>
          <w:rFonts w:ascii="Times New Roman" w:eastAsiaTheme="minorEastAsia" w:hAnsi="Times New Roman"/>
          <w:sz w:val="24"/>
          <w:szCs w:val="24"/>
        </w:rPr>
        <w:t>7</w:t>
      </w:r>
      <w:r>
        <w:rPr>
          <w:rFonts w:ascii="Times New Roman" w:eastAsiaTheme="minorEastAsia" w:hAnsi="Times New Roman"/>
          <w:sz w:val="24"/>
          <w:szCs w:val="24"/>
        </w:rPr>
        <w:t>)</w:t>
      </w:r>
    </w:p>
    <w:p w14:paraId="7570DFAD" w14:textId="77777777" w:rsidR="00620554" w:rsidRDefault="00620554" w:rsidP="00620554">
      <w:pPr>
        <w:tabs>
          <w:tab w:val="left" w:pos="1134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gdzie: D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Theme="minorEastAsia" w:hAnsi="Times New Roman"/>
          <w:sz w:val="24"/>
          <w:szCs w:val="24"/>
        </w:rPr>
        <w:sym w:font="Symbol" w:char="F02D"/>
      </w:r>
      <w:r>
        <w:rPr>
          <w:rFonts w:ascii="Times New Roman" w:eastAsiaTheme="minorEastAsia" w:hAnsi="Times New Roman"/>
          <w:sz w:val="24"/>
          <w:szCs w:val="24"/>
        </w:rPr>
        <w:t xml:space="preserve"> nowa skorygowana dawka leku, która ma zapewnić pożądane stężenie leku we krwi w stanie stacjonarnym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sym w:font="Symbol" w:char="F02D"/>
      </w:r>
      <w:r>
        <w:rPr>
          <w:rFonts w:ascii="Times New Roman" w:eastAsiaTheme="minorEastAsia" w:hAnsi="Times New Roman"/>
          <w:sz w:val="24"/>
          <w:szCs w:val="24"/>
        </w:rPr>
        <w:t xml:space="preserve"> stężenie leku w stanie stacjonarnym uzyskane po podaniu dawki D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14:paraId="0641DD06" w14:textId="4DDD43B7" w:rsidR="00620554" w:rsidRDefault="00620554" w:rsidP="00620554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7C8D552" w14:textId="1199A1B4" w:rsidR="00620554" w:rsidRDefault="00620554" w:rsidP="00620554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2.1.</w:t>
      </w:r>
      <w:r w:rsidR="00F13FCC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Wielokrotne dawki pozanaczyniowe</w:t>
      </w:r>
    </w:p>
    <w:p w14:paraId="5EAC6FB9" w14:textId="689BCA87" w:rsidR="00620554" w:rsidRDefault="00620554" w:rsidP="0062055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0665F9" wp14:editId="1BFA0320">
                <wp:simplePos x="0" y="0"/>
                <wp:positionH relativeFrom="column">
                  <wp:posOffset>-4445</wp:posOffset>
                </wp:positionH>
                <wp:positionV relativeFrom="paragraph">
                  <wp:posOffset>461645</wp:posOffset>
                </wp:positionV>
                <wp:extent cx="5719445" cy="4071620"/>
                <wp:effectExtent l="0" t="0" r="0" b="5080"/>
                <wp:wrapSquare wrapText="bothSides"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407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FEA8" w14:textId="1861EBB1" w:rsidR="00620554" w:rsidRDefault="00620554" w:rsidP="006205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1867F78" wp14:editId="1E720CCE">
                                  <wp:extent cx="5499100" cy="3365500"/>
                                  <wp:effectExtent l="0" t="0" r="0" b="0"/>
                                  <wp:docPr id="12" name="Wykres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3A2142" w14:textId="707945CD" w:rsidR="00620554" w:rsidRDefault="00620554" w:rsidP="0062055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Ryc. 9.2. Stężenie leku we krwi (osoczu, surowicy) jako funkcja czasu podczas wielokrotnego podawania tej samej dawki pozanaczyniowej, w tych samych przedziałach dawkowania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τ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= 8 h), w modelu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jednokompartmentowym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gdy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&gt;&gt;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Poziomymi liniami przerywanymi zaznaczono okno terapeutyczne (10 – 20 mg/l).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665F9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-.35pt;margin-top:36.35pt;width:450.35pt;height:32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" filled="f" stroked="f">
                <v:textbox inset="0,0,0,0">
                  <w:txbxContent>
                    <w:p w14:paraId="0FD4FEA8" w14:textId="1861EBB1" w:rsidR="00620554" w:rsidRDefault="00620554" w:rsidP="006205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1867F78" wp14:editId="1E720CCE">
                            <wp:extent cx="5499100" cy="3365500"/>
                            <wp:effectExtent l="0" t="0" r="0" b="0"/>
                            <wp:docPr id="12" name="Wykres 1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7"/>
                              </a:graphicData>
                            </a:graphic>
                          </wp:inline>
                        </w:drawing>
                      </w:r>
                    </w:p>
                    <w:p w14:paraId="793A2142" w14:textId="707945CD" w:rsidR="00620554" w:rsidRDefault="00620554" w:rsidP="0062055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Ryc. 9.2. Stężenie leku we krwi (osoczu, surowicy) jako funkcja czasu podczas wielokrotnego podawania tej samej dawki pozanaczyniowej, w tych samych przedziałach dawkowania 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τ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= 8 h), w modelu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jednokompartmentowym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gdy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&gt;&gt;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Poziomymi liniami przerywanymi zaznaczono okno terapeutyczne (10 – 20 mg/l).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Zmiany stężenia leku we krwi podczas wielokrotnego dawkowania pozanaczyniowego prowadzącego do uzyskania stanu stacjonarnego przedstawia Ryc. 9.2.</w:t>
      </w:r>
    </w:p>
    <w:p w14:paraId="1846EA3F" w14:textId="77777777" w:rsidR="00620554" w:rsidRDefault="00620554" w:rsidP="0062055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Wyrażenia opisujące maksymalne i minimalne stężenia leku w stanie stacjonarnym są tu bardziej skomplikowane niż te odnoszące się do dawkowania dożylnego. Często jednak można je przekształcić do prostszych postaci, gdyż dla większości leków spełniony jest warunek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 &gt;&gt; </w:t>
      </w: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  <w:vertAlign w:val="subscript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 W uzyskanych równaniach należy dodatkowo uwzględnić jedynie biodostępność leku:</w:t>
      </w:r>
    </w:p>
    <w:p w14:paraId="739524C9" w14:textId="277859B4" w:rsidR="00620554" w:rsidRDefault="004F465F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465F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object w:dxaOrig="2260" w:dyaOrig="680" w14:anchorId="76B67645">
          <v:shape id="_x0000_i1035" type="#_x0000_t75" alt="" style="width:115.5pt;height:36pt;mso-width-percent:0;mso-height-percent:0;mso-width-percent:0;mso-height-percent:0" o:ole="">
            <v:imagedata r:id="rId28" o:title=""/>
          </v:shape>
          <o:OLEObject Type="Embed" ProgID="Equation.3" ShapeID="_x0000_i1035" DrawAspect="Content" ObjectID="_1730276266" r:id="rId29"/>
        </w:object>
      </w:r>
      <w:r w:rsidR="00620554">
        <w:rPr>
          <w:rFonts w:ascii="Times New Roman" w:hAnsi="Times New Roman"/>
          <w:sz w:val="24"/>
          <w:szCs w:val="24"/>
        </w:rPr>
        <w:tab/>
      </w:r>
      <w:r w:rsidR="00620554">
        <w:rPr>
          <w:rFonts w:ascii="Times New Roman" w:hAnsi="Times New Roman"/>
          <w:sz w:val="24"/>
          <w:szCs w:val="24"/>
        </w:rPr>
        <w:tab/>
        <w:t>(9.</w:t>
      </w:r>
      <w:r w:rsidR="00F13FCC">
        <w:rPr>
          <w:rFonts w:ascii="Times New Roman" w:hAnsi="Times New Roman"/>
          <w:sz w:val="24"/>
          <w:szCs w:val="24"/>
        </w:rPr>
        <w:t>8</w:t>
      </w:r>
      <w:r w:rsidR="00620554">
        <w:rPr>
          <w:rFonts w:ascii="Times New Roman" w:hAnsi="Times New Roman"/>
          <w:sz w:val="24"/>
          <w:szCs w:val="24"/>
        </w:rPr>
        <w:t>)</w:t>
      </w:r>
    </w:p>
    <w:p w14:paraId="3BB1322C" w14:textId="1E23C75A" w:rsidR="00620554" w:rsidRDefault="004F465F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465F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object w:dxaOrig="2220" w:dyaOrig="720" w14:anchorId="50E42070">
          <v:shape id="_x0000_i1036" type="#_x0000_t75" alt="" style="width:108pt;height:36pt;mso-width-percent:0;mso-height-percent:0;mso-width-percent:0;mso-height-percent:0" o:ole="">
            <v:imagedata r:id="rId30" o:title=""/>
          </v:shape>
          <o:OLEObject Type="Embed" ProgID="Equation.3" ShapeID="_x0000_i1036" DrawAspect="Content" ObjectID="_1730276267" r:id="rId31"/>
        </w:object>
      </w:r>
      <w:r w:rsidR="00620554">
        <w:rPr>
          <w:rFonts w:ascii="Times New Roman" w:hAnsi="Times New Roman"/>
          <w:sz w:val="24"/>
          <w:szCs w:val="24"/>
        </w:rPr>
        <w:tab/>
      </w:r>
      <w:r w:rsidR="00620554">
        <w:rPr>
          <w:rFonts w:ascii="Times New Roman" w:hAnsi="Times New Roman"/>
          <w:sz w:val="24"/>
          <w:szCs w:val="24"/>
        </w:rPr>
        <w:tab/>
        <w:t>(9.</w:t>
      </w:r>
      <w:r w:rsidR="00F13FCC">
        <w:rPr>
          <w:rFonts w:ascii="Times New Roman" w:hAnsi="Times New Roman"/>
          <w:sz w:val="24"/>
          <w:szCs w:val="24"/>
        </w:rPr>
        <w:t>9</w:t>
      </w:r>
      <w:r w:rsidR="00620554">
        <w:rPr>
          <w:rFonts w:ascii="Times New Roman" w:hAnsi="Times New Roman"/>
          <w:sz w:val="24"/>
          <w:szCs w:val="24"/>
        </w:rPr>
        <w:t>)</w:t>
      </w:r>
    </w:p>
    <w:p w14:paraId="17DEA544" w14:textId="77777777" w:rsidR="00620554" w:rsidRDefault="00620554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wartości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>, średnie stężenie leku w stanie stacjonarnym wyraża się wzorem:</w:t>
      </w:r>
    </w:p>
    <w:p w14:paraId="5376EF07" w14:textId="546A3066" w:rsidR="00620554" w:rsidRDefault="004F465F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465F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1040" w:dyaOrig="620" w14:anchorId="5ABD4DC4">
          <v:shape id="_x0000_i1037" type="#_x0000_t75" alt="" style="width:50.25pt;height:29.25pt;mso-width-percent:0;mso-height-percent:0;mso-width-percent:0;mso-height-percent:0" o:ole="">
            <v:imagedata r:id="rId32" o:title=""/>
          </v:shape>
          <o:OLEObject Type="Embed" ProgID="Equation.3" ShapeID="_x0000_i1037" DrawAspect="Content" ObjectID="_1730276268" r:id="rId33"/>
        </w:object>
      </w:r>
      <w:r w:rsidR="00620554">
        <w:rPr>
          <w:rFonts w:ascii="Times New Roman" w:hAnsi="Times New Roman"/>
          <w:sz w:val="24"/>
          <w:szCs w:val="24"/>
        </w:rPr>
        <w:tab/>
      </w:r>
      <w:r w:rsidR="00620554">
        <w:rPr>
          <w:rFonts w:ascii="Times New Roman" w:hAnsi="Times New Roman"/>
          <w:sz w:val="24"/>
          <w:szCs w:val="24"/>
        </w:rPr>
        <w:tab/>
        <w:t>(9.</w:t>
      </w:r>
      <w:r w:rsidR="00F13FCC">
        <w:rPr>
          <w:rFonts w:ascii="Times New Roman" w:hAnsi="Times New Roman"/>
          <w:sz w:val="24"/>
          <w:szCs w:val="24"/>
        </w:rPr>
        <w:t>10</w:t>
      </w:r>
      <w:r w:rsidR="00620554">
        <w:rPr>
          <w:rFonts w:ascii="Times New Roman" w:hAnsi="Times New Roman"/>
          <w:sz w:val="24"/>
          <w:szCs w:val="24"/>
        </w:rPr>
        <w:t>)</w:t>
      </w:r>
    </w:p>
    <w:p w14:paraId="14BCCAC5" w14:textId="1E62CB71" w:rsidR="00620554" w:rsidRDefault="00620554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pozanaczyniowego podawania leku fluktuacje stężeń w stanie stacjonarnym są z reguły mniejsze niż w przypadku stosowania tej samej dawki drogą dożylną. Z tego względu, w praktyce klinicznej, do ustalenia optymalnego przedziału dawkowania pozanaczyniowego stosuje się wzór 9.</w:t>
      </w:r>
      <w:r w:rsidR="00F13F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Następnie z równania 9.9 oblicza się dawkę podtrzymującą, która zapewni żądane średnie stężenie leku w stanie stacjonarnym. W przeciwieństwie do dawki podtrzymującej, optymalna dawka inicjująca zależy od szybkości wchłaniania leku.</w:t>
      </w:r>
    </w:p>
    <w:p w14:paraId="29BB9846" w14:textId="14737F84" w:rsidR="00620554" w:rsidRDefault="00620554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W przypadku nieuzyskania u pacjenta żądanego stężenia leku w stanie stacjonarnym, korekty dawki podtrzymującej dokonuje się na podstawie proporcjonalności między 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i </w:t>
      </w:r>
      <w:r w:rsidR="004F465F" w:rsidRPr="004F465F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240" w:dyaOrig="300" w14:anchorId="2B5D3351">
          <v:shape id="_x0000_i1038" type="#_x0000_t75" alt="" style="width:14.25pt;height:14.25pt;mso-width-percent:0;mso-height-percent:0;mso-width-percent:0;mso-height-percent:0" o:ole="">
            <v:imagedata r:id="rId34" o:title=""/>
          </v:shape>
          <o:OLEObject Type="Embed" ProgID="Equation.3" ShapeID="_x0000_i1038" DrawAspect="Content" ObjectID="_1730276269" r:id="rId35"/>
        </w:object>
      </w:r>
      <w:r>
        <w:rPr>
          <w:rFonts w:ascii="Times New Roman" w:hAnsi="Times New Roman"/>
          <w:sz w:val="24"/>
          <w:szCs w:val="24"/>
        </w:rPr>
        <w:t>, podobnie jak w przypadku dawkowania dożylnego. Warunkiem takiego postępowania jest liniowa farmakokinetyka leku.</w:t>
      </w:r>
    </w:p>
    <w:p w14:paraId="2DEFA65F" w14:textId="5DCE65EC" w:rsidR="00DB34A6" w:rsidRDefault="00DB34A6" w:rsidP="006205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28FFA7" w14:textId="186F69D3" w:rsidR="00DB34A6" w:rsidRPr="00DA6179" w:rsidRDefault="00DB34A6" w:rsidP="0062055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6179">
        <w:rPr>
          <w:rFonts w:ascii="Times New Roman" w:hAnsi="Times New Roman"/>
          <w:b/>
          <w:bCs/>
          <w:i/>
          <w:iCs/>
          <w:sz w:val="24"/>
          <w:szCs w:val="24"/>
        </w:rPr>
        <w:t xml:space="preserve">9.2. Farmakokinetyka </w:t>
      </w:r>
      <w:proofErr w:type="spellStart"/>
      <w:r w:rsidRPr="00DA6179">
        <w:rPr>
          <w:rFonts w:ascii="Times New Roman" w:hAnsi="Times New Roman"/>
          <w:b/>
          <w:bCs/>
          <w:i/>
          <w:iCs/>
          <w:sz w:val="24"/>
          <w:szCs w:val="24"/>
        </w:rPr>
        <w:t>gentamycyny</w:t>
      </w:r>
      <w:proofErr w:type="spellEnd"/>
    </w:p>
    <w:p w14:paraId="739CAF3D" w14:textId="77FD1541" w:rsidR="003D5B56" w:rsidRDefault="00DB34A6" w:rsidP="000E01AB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Gentamycyna</w:t>
      </w:r>
      <w:proofErr w:type="spellEnd"/>
      <w:r>
        <w:rPr>
          <w:rFonts w:ascii="Times New Roman" w:hAnsi="Times New Roman"/>
          <w:sz w:val="24"/>
          <w:szCs w:val="24"/>
        </w:rPr>
        <w:t xml:space="preserve"> należy do antybiotyków </w:t>
      </w:r>
      <w:proofErr w:type="spellStart"/>
      <w:r>
        <w:rPr>
          <w:rFonts w:ascii="Times New Roman" w:hAnsi="Times New Roman"/>
          <w:sz w:val="24"/>
          <w:szCs w:val="24"/>
        </w:rPr>
        <w:t>aminoglikozydowych</w:t>
      </w:r>
      <w:proofErr w:type="spellEnd"/>
      <w:r>
        <w:rPr>
          <w:rFonts w:ascii="Times New Roman" w:hAnsi="Times New Roman"/>
          <w:sz w:val="24"/>
          <w:szCs w:val="24"/>
        </w:rPr>
        <w:t xml:space="preserve">, które charakteryzują się dużą skutecznością w stosunku do tlenowych bakterii </w:t>
      </w:r>
      <w:r w:rsidR="0096563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ram</w:t>
      </w:r>
      <w:r w:rsidR="00B60794">
        <w:rPr>
          <w:rFonts w:ascii="Times New Roman" w:hAnsi="Times New Roman"/>
          <w:sz w:val="24"/>
          <w:szCs w:val="24"/>
        </w:rPr>
        <w:t xml:space="preserve"> ujemnych. Są to antybiotyki o stosunkowo niskim potencjale indukowania oporności ale ich stosowanie związane jest dużym ryzykiem działań niepożądanych, takich jak </w:t>
      </w:r>
      <w:proofErr w:type="spellStart"/>
      <w:r w:rsidR="00B60794">
        <w:rPr>
          <w:rFonts w:ascii="Times New Roman" w:hAnsi="Times New Roman"/>
          <w:sz w:val="24"/>
          <w:szCs w:val="24"/>
        </w:rPr>
        <w:t>nefrotoksyczność</w:t>
      </w:r>
      <w:proofErr w:type="spellEnd"/>
      <w:r w:rsidR="00B60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60794">
        <w:rPr>
          <w:rFonts w:ascii="Times New Roman" w:hAnsi="Times New Roman"/>
          <w:sz w:val="24"/>
          <w:szCs w:val="24"/>
        </w:rPr>
        <w:t>ototoksyczność</w:t>
      </w:r>
      <w:proofErr w:type="spellEnd"/>
      <w:r w:rsidR="00B60794">
        <w:rPr>
          <w:rFonts w:ascii="Times New Roman" w:hAnsi="Times New Roman"/>
          <w:sz w:val="24"/>
          <w:szCs w:val="24"/>
        </w:rPr>
        <w:t xml:space="preserve">. </w:t>
      </w:r>
      <w:r w:rsidR="0096563C">
        <w:rPr>
          <w:rFonts w:ascii="Times New Roman" w:hAnsi="Times New Roman"/>
          <w:sz w:val="24"/>
          <w:szCs w:val="24"/>
        </w:rPr>
        <w:t xml:space="preserve">W związku z tym, że </w:t>
      </w:r>
      <w:proofErr w:type="spellStart"/>
      <w:r w:rsidR="0096563C">
        <w:rPr>
          <w:rFonts w:ascii="Times New Roman" w:hAnsi="Times New Roman"/>
          <w:sz w:val="24"/>
          <w:szCs w:val="24"/>
        </w:rPr>
        <w:t>g</w:t>
      </w:r>
      <w:r w:rsidR="00B60794">
        <w:rPr>
          <w:rFonts w:ascii="Times New Roman" w:hAnsi="Times New Roman"/>
          <w:sz w:val="24"/>
          <w:szCs w:val="24"/>
        </w:rPr>
        <w:t>entamycyna</w:t>
      </w:r>
      <w:proofErr w:type="spellEnd"/>
      <w:r w:rsidR="00B60794">
        <w:rPr>
          <w:rFonts w:ascii="Times New Roman" w:hAnsi="Times New Roman"/>
          <w:sz w:val="24"/>
          <w:szCs w:val="24"/>
        </w:rPr>
        <w:t xml:space="preserve"> nie wchłania się po podaniu doustnym, </w:t>
      </w:r>
      <w:r w:rsidR="0096563C">
        <w:rPr>
          <w:rFonts w:ascii="Times New Roman" w:hAnsi="Times New Roman"/>
          <w:sz w:val="24"/>
          <w:szCs w:val="24"/>
        </w:rPr>
        <w:t>podawana</w:t>
      </w:r>
      <w:r w:rsidR="00B60794">
        <w:rPr>
          <w:rFonts w:ascii="Times New Roman" w:hAnsi="Times New Roman"/>
          <w:sz w:val="24"/>
          <w:szCs w:val="24"/>
        </w:rPr>
        <w:t xml:space="preserve"> jest pozajelitowo, najczęściej w postaci </w:t>
      </w:r>
      <w:r w:rsidR="0096563C">
        <w:rPr>
          <w:rFonts w:ascii="Times New Roman" w:hAnsi="Times New Roman"/>
          <w:sz w:val="24"/>
          <w:szCs w:val="24"/>
        </w:rPr>
        <w:t>krótkotrwałego wlewu dożylnego trwającego 30 minut lub w postaci iniekcji domięśniowej. Jej skuteczność bakteriobójcza uzależniona jest od stężenia. Maksymalne działanie uzyskuje się po przekroczeniu stężenia odpowiadającego wartości            8 – 10 razy większej niż minimalne stężenie hamujące (MIC</w:t>
      </w:r>
      <w:r w:rsidR="00AB751C">
        <w:rPr>
          <w:rFonts w:ascii="Times New Roman" w:hAnsi="Times New Roman"/>
          <w:sz w:val="24"/>
          <w:szCs w:val="24"/>
        </w:rPr>
        <w:t xml:space="preserve"> </w:t>
      </w:r>
      <w:r w:rsidR="00AB751C" w:rsidRPr="00AB75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B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751C" w:rsidRPr="00AB751C">
        <w:rPr>
          <w:rFonts w:ascii="Times New Roman" w:hAnsi="Times New Roman" w:cs="Times New Roman"/>
          <w:color w:val="000000" w:themeColor="text1"/>
          <w:sz w:val="24"/>
          <w:szCs w:val="24"/>
        </w:rPr>
        <w:t>minimal</w:t>
      </w:r>
      <w:proofErr w:type="spellEnd"/>
      <w:r w:rsidR="00AB751C" w:rsidRPr="00AB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inhibitory </w:t>
      </w:r>
      <w:proofErr w:type="spellStart"/>
      <w:r w:rsidR="00AB751C" w:rsidRPr="00AB751C">
        <w:rPr>
          <w:rFonts w:ascii="Times New Roman" w:hAnsi="Times New Roman" w:cs="Times New Roman"/>
          <w:color w:val="000000" w:themeColor="text1"/>
          <w:sz w:val="24"/>
          <w:szCs w:val="24"/>
        </w:rPr>
        <w:t>concentration</w:t>
      </w:r>
      <w:proofErr w:type="spellEnd"/>
      <w:r w:rsidR="0096563C">
        <w:rPr>
          <w:rFonts w:ascii="Times New Roman" w:hAnsi="Times New Roman"/>
          <w:sz w:val="24"/>
          <w:szCs w:val="24"/>
        </w:rPr>
        <w:t>)</w:t>
      </w:r>
      <w:r w:rsidR="00AB751C">
        <w:rPr>
          <w:rFonts w:ascii="Times New Roman" w:hAnsi="Times New Roman"/>
          <w:sz w:val="24"/>
          <w:szCs w:val="24"/>
        </w:rPr>
        <w:t xml:space="preserve">, określające </w:t>
      </w:r>
      <w:r w:rsidR="00AB751C" w:rsidRPr="00AB751C">
        <w:rPr>
          <w:rFonts w:ascii="Times New Roman" w:hAnsi="Times New Roman" w:cs="Times New Roman"/>
          <w:color w:val="000000" w:themeColor="text1"/>
          <w:sz w:val="24"/>
          <w:szCs w:val="24"/>
        </w:rPr>
        <w:t>wrażliwość szczepu na</w:t>
      </w:r>
      <w:r w:rsidR="00AB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51C" w:rsidRPr="00AB751C">
        <w:rPr>
          <w:rFonts w:ascii="Times New Roman" w:hAnsi="Times New Roman" w:cs="Times New Roman"/>
          <w:color w:val="000000" w:themeColor="text1"/>
          <w:sz w:val="24"/>
          <w:szCs w:val="24"/>
        </w:rPr>
        <w:t>dany antybiotyk</w:t>
      </w:r>
      <w:r w:rsidR="0096563C">
        <w:rPr>
          <w:rFonts w:ascii="Times New Roman" w:hAnsi="Times New Roman"/>
          <w:sz w:val="24"/>
          <w:szCs w:val="24"/>
        </w:rPr>
        <w:t xml:space="preserve">. Jeżeli wartości MIC patogenu nie są znane, dawkowanie ustala się na podstawie wartości MIC równej 1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96563C">
        <w:rPr>
          <w:rFonts w:ascii="Times New Roman" w:eastAsiaTheme="minorEastAsia" w:hAnsi="Times New Roman"/>
          <w:sz w:val="24"/>
          <w:szCs w:val="24"/>
        </w:rPr>
        <w:t>g/ml, tak aby uzyskać stężenie maksymalne w zakresie 8 – 10</w:t>
      </w:r>
      <w:r w:rsidR="0096563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96563C">
        <w:rPr>
          <w:rFonts w:ascii="Times New Roman" w:eastAsiaTheme="minorEastAsia" w:hAnsi="Times New Roman"/>
          <w:sz w:val="24"/>
          <w:szCs w:val="24"/>
        </w:rPr>
        <w:t xml:space="preserve">g/ml. </w:t>
      </w:r>
      <w:r w:rsidR="002D3B64">
        <w:rPr>
          <w:rFonts w:ascii="Times New Roman" w:eastAsiaTheme="minorEastAsia" w:hAnsi="Times New Roman"/>
          <w:sz w:val="24"/>
          <w:szCs w:val="24"/>
        </w:rPr>
        <w:t xml:space="preserve">Farmakokinetykę </w:t>
      </w:r>
      <w:proofErr w:type="spellStart"/>
      <w:r w:rsidR="002D3B64">
        <w:rPr>
          <w:rFonts w:ascii="Times New Roman" w:eastAsiaTheme="minorEastAsia" w:hAnsi="Times New Roman"/>
          <w:sz w:val="24"/>
          <w:szCs w:val="24"/>
        </w:rPr>
        <w:t>gentamycyny</w:t>
      </w:r>
      <w:proofErr w:type="spellEnd"/>
      <w:r w:rsidR="002D3B64">
        <w:rPr>
          <w:rFonts w:ascii="Times New Roman" w:eastAsiaTheme="minorEastAsia" w:hAnsi="Times New Roman"/>
          <w:sz w:val="24"/>
          <w:szCs w:val="24"/>
        </w:rPr>
        <w:t xml:space="preserve"> charakteryzuje przebieg zgodny z modelem </w:t>
      </w:r>
      <w:proofErr w:type="spellStart"/>
      <w:r w:rsidR="002D3B64">
        <w:rPr>
          <w:rFonts w:ascii="Times New Roman" w:eastAsiaTheme="minorEastAsia" w:hAnsi="Times New Roman"/>
          <w:sz w:val="24"/>
          <w:szCs w:val="24"/>
        </w:rPr>
        <w:t>dwukompartmentowym</w:t>
      </w:r>
      <w:proofErr w:type="spellEnd"/>
      <w:r w:rsidR="002D3B64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4D0EA0">
        <w:rPr>
          <w:rFonts w:ascii="Times New Roman" w:eastAsiaTheme="minorEastAsia" w:hAnsi="Times New Roman"/>
          <w:sz w:val="24"/>
          <w:szCs w:val="24"/>
        </w:rPr>
        <w:t xml:space="preserve">Po podaniu leku w postaci półgodzinnego wlewu dożylnego, na wykresie zależności stężenia leku w osoczu od czasu C=f(t) widoczna jest faza dystrybucji, </w:t>
      </w:r>
      <w:r w:rsidR="004D0EA0" w:rsidRPr="000E01AB">
        <w:rPr>
          <w:rFonts w:ascii="Times New Roman" w:eastAsiaTheme="minorEastAsia" w:hAnsi="Times New Roman" w:cs="Times New Roman"/>
          <w:sz w:val="24"/>
          <w:szCs w:val="24"/>
        </w:rPr>
        <w:t xml:space="preserve">która ulega zakończeniu po upływie ok. godziny od rozpoczęcia wlewu (Ryc. 9.3). </w:t>
      </w:r>
      <w:r w:rsidR="00C41138">
        <w:rPr>
          <w:rFonts w:ascii="Times New Roman" w:eastAsiaTheme="minorEastAsia" w:hAnsi="Times New Roman" w:cs="Times New Roman"/>
          <w:sz w:val="24"/>
          <w:szCs w:val="24"/>
        </w:rPr>
        <w:t xml:space="preserve">Objętość dystrybucji </w:t>
      </w:r>
      <w:proofErr w:type="spellStart"/>
      <w:r w:rsidR="00C41138">
        <w:rPr>
          <w:rFonts w:ascii="Times New Roman" w:eastAsiaTheme="minorEastAsia" w:hAnsi="Times New Roman" w:cs="Times New Roman"/>
          <w:sz w:val="24"/>
          <w:szCs w:val="24"/>
        </w:rPr>
        <w:t>gentamycyny</w:t>
      </w:r>
      <w:proofErr w:type="spellEnd"/>
      <w:r w:rsidR="00C41138">
        <w:rPr>
          <w:rFonts w:ascii="Times New Roman" w:eastAsiaTheme="minorEastAsia" w:hAnsi="Times New Roman" w:cs="Times New Roman"/>
          <w:sz w:val="24"/>
          <w:szCs w:val="24"/>
        </w:rPr>
        <w:t xml:space="preserve"> jest w przybliżeniu równa objętości wody pozakomórkowej i wynosi 0,25 l/kg masy ciała u dorosłych oraz 0,5–0,7 l/kg u noworodków.</w:t>
      </w:r>
      <w:r w:rsidR="00F71E96">
        <w:rPr>
          <w:rFonts w:ascii="Times New Roman" w:eastAsiaTheme="minorEastAsia" w:hAnsi="Times New Roman" w:cs="Times New Roman"/>
          <w:sz w:val="24"/>
          <w:szCs w:val="24"/>
        </w:rPr>
        <w:t xml:space="preserve"> Lek ulega dystrybucji w nadmiarowej masie ciała w 40% w stosunku do normalnej masy ciała, co należy uwzględnić przy szacowaniu objętości dystrybucji u pacjentów.</w:t>
      </w:r>
      <w:bookmarkStart w:id="1" w:name="_GoBack"/>
      <w:bookmarkEnd w:id="1"/>
      <w:r w:rsidR="00C41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01AB">
        <w:rPr>
          <w:rFonts w:ascii="Times New Roman" w:eastAsiaTheme="minorEastAsia" w:hAnsi="Times New Roman"/>
          <w:sz w:val="24"/>
          <w:szCs w:val="24"/>
        </w:rPr>
        <w:t xml:space="preserve">Ze względu na powolną kumulację leku w </w:t>
      </w:r>
      <w:proofErr w:type="spellStart"/>
      <w:r w:rsidR="000E01AB">
        <w:rPr>
          <w:rFonts w:ascii="Times New Roman" w:eastAsiaTheme="minorEastAsia" w:hAnsi="Times New Roman"/>
          <w:sz w:val="24"/>
          <w:szCs w:val="24"/>
        </w:rPr>
        <w:t>kompartmencie</w:t>
      </w:r>
      <w:proofErr w:type="spellEnd"/>
      <w:r w:rsidR="000E01AB">
        <w:rPr>
          <w:rFonts w:ascii="Times New Roman" w:eastAsiaTheme="minorEastAsia" w:hAnsi="Times New Roman"/>
          <w:sz w:val="24"/>
          <w:szCs w:val="24"/>
        </w:rPr>
        <w:t xml:space="preserve"> tkankowym, do którego należą komórki słuchowe i komórki kanalików nerkowych, po osiągnięciu stężeń toksycznych leku, może dojść do wystąpienia odwracalnej lub nieodwracalnej utraty słuchu, zaburzenia równowagi i niewydolności nerek. Dlatego należy dawkować </w:t>
      </w:r>
      <w:proofErr w:type="spellStart"/>
      <w:r w:rsidR="000E01AB">
        <w:rPr>
          <w:rFonts w:ascii="Times New Roman" w:eastAsiaTheme="minorEastAsia" w:hAnsi="Times New Roman"/>
          <w:sz w:val="24"/>
          <w:szCs w:val="24"/>
        </w:rPr>
        <w:t>gentamycynę</w:t>
      </w:r>
      <w:proofErr w:type="spellEnd"/>
      <w:r w:rsidR="000E01AB">
        <w:rPr>
          <w:rFonts w:ascii="Times New Roman" w:eastAsiaTheme="minorEastAsia" w:hAnsi="Times New Roman"/>
          <w:sz w:val="24"/>
          <w:szCs w:val="24"/>
        </w:rPr>
        <w:t xml:space="preserve"> w taki sposób, aby uzyskać możliwie niskie stężenie minimalne (&lt; 2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0E01AB">
        <w:rPr>
          <w:rFonts w:ascii="Times New Roman" w:eastAsiaTheme="minorEastAsia" w:hAnsi="Times New Roman"/>
          <w:sz w:val="24"/>
          <w:szCs w:val="24"/>
        </w:rPr>
        <w:t xml:space="preserve">g/ml), co korzystnie wpłynie na gradient stężenia między osoczem a </w:t>
      </w:r>
      <w:proofErr w:type="spellStart"/>
      <w:r w:rsidR="000E01AB">
        <w:rPr>
          <w:rFonts w:ascii="Times New Roman" w:eastAsiaTheme="minorEastAsia" w:hAnsi="Times New Roman"/>
          <w:sz w:val="24"/>
          <w:szCs w:val="24"/>
        </w:rPr>
        <w:t>kompartmentem</w:t>
      </w:r>
      <w:proofErr w:type="spellEnd"/>
      <w:r w:rsidR="000E01AB">
        <w:rPr>
          <w:rFonts w:ascii="Times New Roman" w:eastAsiaTheme="minorEastAsia" w:hAnsi="Times New Roman"/>
          <w:sz w:val="24"/>
          <w:szCs w:val="24"/>
        </w:rPr>
        <w:t xml:space="preserve"> tkankowym. </w:t>
      </w:r>
      <w:r w:rsidR="003D5B56">
        <w:rPr>
          <w:rFonts w:ascii="Times New Roman" w:eastAsiaTheme="minorEastAsia" w:hAnsi="Times New Roman"/>
          <w:sz w:val="24"/>
          <w:szCs w:val="24"/>
        </w:rPr>
        <w:t xml:space="preserve">Ze względu na wąski </w:t>
      </w:r>
      <w:r w:rsidR="00A77DCB">
        <w:rPr>
          <w:rFonts w:ascii="Times New Roman" w:eastAsiaTheme="minorEastAsia" w:hAnsi="Times New Roman"/>
          <w:sz w:val="24"/>
          <w:szCs w:val="24"/>
        </w:rPr>
        <w:t>indeks terapeutyczny</w:t>
      </w:r>
      <w:r w:rsidR="003D5B56">
        <w:rPr>
          <w:rFonts w:ascii="Times New Roman" w:eastAsiaTheme="minorEastAsia" w:hAnsi="Times New Roman"/>
          <w:sz w:val="24"/>
          <w:szCs w:val="24"/>
        </w:rPr>
        <w:t xml:space="preserve">, określony przez </w:t>
      </w:r>
      <w:r w:rsidR="00A77DCB">
        <w:rPr>
          <w:rFonts w:ascii="Times New Roman" w:eastAsiaTheme="minorEastAsia" w:hAnsi="Times New Roman"/>
          <w:sz w:val="24"/>
          <w:szCs w:val="24"/>
        </w:rPr>
        <w:t xml:space="preserve">stężenie maksymalne w zakresie 8 – 10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AB751C">
        <w:rPr>
          <w:rFonts w:ascii="Times New Roman" w:eastAsiaTheme="minorEastAsia" w:hAnsi="Times New Roman"/>
          <w:sz w:val="24"/>
          <w:szCs w:val="24"/>
        </w:rPr>
        <w:t>g/ml</w:t>
      </w:r>
      <w:r w:rsidR="00A77DCB">
        <w:rPr>
          <w:rFonts w:ascii="Times New Roman" w:eastAsiaTheme="minorEastAsia" w:hAnsi="Times New Roman"/>
          <w:sz w:val="24"/>
          <w:szCs w:val="24"/>
        </w:rPr>
        <w:t xml:space="preserve"> oraz stężenie minimalne &lt; 2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A77DCB">
        <w:rPr>
          <w:rFonts w:ascii="Times New Roman" w:eastAsiaTheme="minorEastAsia" w:hAnsi="Times New Roman"/>
          <w:sz w:val="24"/>
          <w:szCs w:val="24"/>
        </w:rPr>
        <w:t xml:space="preserve">g/ml, oraz wysokie ryzyko działań niepożądanych, terapia gentamycyny powinna być monitorowana poprzez oznaczenie stężeń leku w osoczu. </w:t>
      </w:r>
    </w:p>
    <w:p w14:paraId="62256567" w14:textId="19A1EA0D" w:rsidR="000E01AB" w:rsidRDefault="00C41138" w:rsidP="000E01AB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Uzyskanie wystarczająco wysokich stężeń maksymalnych leku i możliwie niskich stężeń minimalnych jest możliwe przy zastosowaniu dwóch różnych metod dawkowania.</w:t>
      </w:r>
    </w:p>
    <w:p w14:paraId="47CC5349" w14:textId="59F286E2" w:rsidR="003D5B56" w:rsidRPr="003D5B56" w:rsidRDefault="00C41138" w:rsidP="003D5B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D</w:t>
      </w:r>
      <w:r w:rsidRPr="00C41138">
        <w:rPr>
          <w:rFonts w:ascii="Times New Roman" w:eastAsiaTheme="minorEastAsia" w:hAnsi="Times New Roman"/>
          <w:sz w:val="24"/>
          <w:szCs w:val="24"/>
        </w:rPr>
        <w:t xml:space="preserve">awkowanie standardowe </w:t>
      </w:r>
      <w:r w:rsidR="003D5B56">
        <w:rPr>
          <w:rFonts w:ascii="Times New Roman" w:eastAsiaTheme="minorEastAsia" w:hAnsi="Times New Roman"/>
          <w:sz w:val="24"/>
          <w:szCs w:val="24"/>
        </w:rPr>
        <w:t>– 2 mg/kg masy ciała</w:t>
      </w:r>
      <w:r w:rsidR="00B76783">
        <w:rPr>
          <w:rFonts w:ascii="Times New Roman" w:eastAsiaTheme="minorEastAsia" w:hAnsi="Times New Roman"/>
          <w:sz w:val="24"/>
          <w:szCs w:val="24"/>
        </w:rPr>
        <w:t xml:space="preserve"> w postaci półgodzinnego wlewu </w:t>
      </w:r>
      <w:r w:rsidR="003D5B56">
        <w:rPr>
          <w:rFonts w:ascii="Times New Roman" w:eastAsiaTheme="minorEastAsia" w:hAnsi="Times New Roman"/>
          <w:sz w:val="24"/>
          <w:szCs w:val="24"/>
        </w:rPr>
        <w:t xml:space="preserve">co </w:t>
      </w:r>
      <w:r w:rsidR="00B76783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="003D5B56">
        <w:rPr>
          <w:rFonts w:ascii="Times New Roman" w:eastAsiaTheme="minorEastAsia" w:hAnsi="Times New Roman"/>
          <w:sz w:val="24"/>
          <w:szCs w:val="24"/>
        </w:rPr>
        <w:t>8 – 12 h.</w:t>
      </w:r>
    </w:p>
    <w:p w14:paraId="06234B25" w14:textId="56314C10" w:rsidR="000E01AB" w:rsidRPr="00A77DCB" w:rsidRDefault="00032832" w:rsidP="000E01A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podaniu leku w postaci półgodzinnego wlewu dożylnego (Ryc. 9.3),</w:t>
      </w:r>
      <w:r w:rsidR="000E01AB">
        <w:rPr>
          <w:rFonts w:ascii="Times New Roman" w:hAnsi="Times New Roman" w:cs="Times New Roman"/>
          <w:sz w:val="24"/>
          <w:szCs w:val="24"/>
        </w:rPr>
        <w:t xml:space="preserve"> m</w:t>
      </w:r>
      <w:r w:rsidR="000E01AB" w:rsidRPr="000E01AB">
        <w:rPr>
          <w:rFonts w:ascii="Times New Roman" w:hAnsi="Times New Roman" w:cs="Times New Roman"/>
          <w:sz w:val="24"/>
          <w:szCs w:val="24"/>
        </w:rPr>
        <w:t>aksymalne stężenie leku w osoczu jest bardzo wysokie i nie reprezentuje stężenia w tkankach</w:t>
      </w:r>
      <w:r>
        <w:rPr>
          <w:rFonts w:ascii="Times New Roman" w:hAnsi="Times New Roman" w:cs="Times New Roman"/>
          <w:sz w:val="24"/>
          <w:szCs w:val="24"/>
        </w:rPr>
        <w:t>. W związku z tym, p</w:t>
      </w:r>
      <w:r w:rsidR="000E01AB" w:rsidRPr="000E01AB">
        <w:rPr>
          <w:rFonts w:ascii="Times New Roman" w:hAnsi="Times New Roman" w:cs="Times New Roman"/>
          <w:sz w:val="24"/>
          <w:szCs w:val="24"/>
        </w:rPr>
        <w:t xml:space="preserve">omiar stężenia maksymalnego </w:t>
      </w:r>
      <w:proofErr w:type="spellStart"/>
      <w:r w:rsidR="000E01AB" w:rsidRPr="000E01AB">
        <w:rPr>
          <w:rFonts w:ascii="Times New Roman" w:hAnsi="Times New Roman" w:cs="Times New Roman"/>
          <w:sz w:val="24"/>
          <w:szCs w:val="24"/>
        </w:rPr>
        <w:t>C</w:t>
      </w:r>
      <w:r w:rsidR="000E01AB" w:rsidRPr="000E01AB">
        <w:rPr>
          <w:rFonts w:ascii="Times New Roman" w:hAnsi="Times New Roman" w:cs="Times New Roman"/>
          <w:sz w:val="24"/>
          <w:szCs w:val="24"/>
          <w:vertAlign w:val="subscript"/>
        </w:rPr>
        <w:t>ma</w:t>
      </w:r>
      <w:r w:rsidR="00B877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E01AB" w:rsidRPr="000E01AB">
        <w:rPr>
          <w:rFonts w:ascii="Times New Roman" w:hAnsi="Times New Roman" w:cs="Times New Roman"/>
          <w:sz w:val="24"/>
          <w:szCs w:val="24"/>
          <w:vertAlign w:val="superscript"/>
        </w:rPr>
        <w:t>ss</w:t>
      </w:r>
      <w:proofErr w:type="spellEnd"/>
      <w:r w:rsidR="000E01AB" w:rsidRPr="000E01A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E01AB" w:rsidRPr="000E01AB">
        <w:rPr>
          <w:rFonts w:ascii="Times New Roman" w:hAnsi="Times New Roman" w:cs="Times New Roman"/>
          <w:sz w:val="24"/>
          <w:szCs w:val="24"/>
        </w:rPr>
        <w:t xml:space="preserve"> wykonywany jest dopiero po zakończeniu fazy dystrybucji (</w:t>
      </w:r>
      <w:r w:rsidR="00F96FBC">
        <w:rPr>
          <w:rFonts w:ascii="Times New Roman" w:hAnsi="Times New Roman" w:cs="Times New Roman"/>
          <w:sz w:val="24"/>
          <w:szCs w:val="24"/>
        </w:rPr>
        <w:t xml:space="preserve">zazwyczaj </w:t>
      </w:r>
      <w:r w:rsidR="000E01AB" w:rsidRPr="000E01AB">
        <w:rPr>
          <w:rFonts w:ascii="Times New Roman" w:hAnsi="Times New Roman" w:cs="Times New Roman"/>
          <w:sz w:val="24"/>
          <w:szCs w:val="24"/>
        </w:rPr>
        <w:t xml:space="preserve">po 30 min od zakończenia wlewu). </w:t>
      </w:r>
      <w:r>
        <w:rPr>
          <w:rFonts w:ascii="Times New Roman" w:hAnsi="Times New Roman" w:cs="Times New Roman"/>
          <w:sz w:val="24"/>
          <w:szCs w:val="24"/>
        </w:rPr>
        <w:t xml:space="preserve">Następnie oblicza się </w:t>
      </w:r>
      <w:proofErr w:type="spellStart"/>
      <w:r w:rsidR="000E01AB" w:rsidRPr="000E01AB">
        <w:rPr>
          <w:rFonts w:ascii="Times New Roman" w:hAnsi="Times New Roman" w:cs="Times New Roman"/>
          <w:sz w:val="24"/>
          <w:szCs w:val="24"/>
        </w:rPr>
        <w:t>C</w:t>
      </w:r>
      <w:r w:rsidR="000E01AB" w:rsidRPr="000E01AB">
        <w:rPr>
          <w:rFonts w:ascii="Times New Roman" w:hAnsi="Times New Roman" w:cs="Times New Roman"/>
          <w:sz w:val="24"/>
          <w:szCs w:val="24"/>
          <w:vertAlign w:val="subscript"/>
        </w:rPr>
        <w:t>ma</w:t>
      </w:r>
      <w:r w:rsidR="00B877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E01AB" w:rsidRPr="000E01AB">
        <w:rPr>
          <w:rFonts w:ascii="Times New Roman" w:hAnsi="Times New Roman" w:cs="Times New Roman"/>
          <w:sz w:val="24"/>
          <w:szCs w:val="24"/>
          <w:vertAlign w:val="superscript"/>
        </w:rPr>
        <w:t>ss</w:t>
      </w:r>
      <w:proofErr w:type="spellEnd"/>
      <w:r w:rsidR="000E01AB" w:rsidRPr="000E01AB">
        <w:rPr>
          <w:rFonts w:ascii="Times New Roman" w:hAnsi="Times New Roman" w:cs="Times New Roman"/>
          <w:sz w:val="24"/>
          <w:szCs w:val="24"/>
        </w:rPr>
        <w:t xml:space="preserve"> metodą ekstrapolacji. Pomiar </w:t>
      </w:r>
      <w:proofErr w:type="spellStart"/>
      <w:r w:rsidR="000E01AB" w:rsidRPr="000E01AB">
        <w:rPr>
          <w:rFonts w:ascii="Times New Roman" w:hAnsi="Times New Roman" w:cs="Times New Roman"/>
          <w:sz w:val="24"/>
          <w:szCs w:val="24"/>
        </w:rPr>
        <w:t>C</w:t>
      </w:r>
      <w:r w:rsidR="000E01AB" w:rsidRPr="000E01A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0E01AB" w:rsidRPr="000E01AB">
        <w:rPr>
          <w:rFonts w:ascii="Times New Roman" w:hAnsi="Times New Roman" w:cs="Times New Roman"/>
          <w:sz w:val="24"/>
          <w:szCs w:val="24"/>
          <w:vertAlign w:val="superscript"/>
        </w:rPr>
        <w:t>ss</w:t>
      </w:r>
      <w:proofErr w:type="spellEnd"/>
      <w:r w:rsidR="000E01AB" w:rsidRPr="000E01A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E01AB" w:rsidRPr="000E01AB">
        <w:rPr>
          <w:rFonts w:ascii="Times New Roman" w:hAnsi="Times New Roman" w:cs="Times New Roman"/>
          <w:sz w:val="24"/>
          <w:szCs w:val="24"/>
        </w:rPr>
        <w:t xml:space="preserve"> wykonuje się często 30 min przed końcem przedziału dawkowania, a następnie ekstrapoluje do rzeczywistego stężenia minimalnego </w:t>
      </w:r>
      <w:proofErr w:type="spellStart"/>
      <w:r w:rsidR="000E01AB" w:rsidRPr="000E01AB">
        <w:rPr>
          <w:rFonts w:ascii="Times New Roman" w:hAnsi="Times New Roman" w:cs="Times New Roman"/>
          <w:sz w:val="24"/>
          <w:szCs w:val="24"/>
        </w:rPr>
        <w:t>C</w:t>
      </w:r>
      <w:r w:rsidR="000E01AB" w:rsidRPr="000E01A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0E01AB" w:rsidRPr="000E01AB">
        <w:rPr>
          <w:rFonts w:ascii="Times New Roman" w:hAnsi="Times New Roman" w:cs="Times New Roman"/>
          <w:sz w:val="24"/>
          <w:szCs w:val="24"/>
          <w:vertAlign w:val="superscript"/>
        </w:rPr>
        <w:t>ss</w:t>
      </w:r>
      <w:proofErr w:type="spellEnd"/>
      <w:r w:rsidR="000E01AB" w:rsidRPr="000E01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A77D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0DBF8BFE" w14:textId="086A484C" w:rsidR="00DA6179" w:rsidRDefault="00DA617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06447D9" w14:textId="3E4CE4D5" w:rsidR="00DA6179" w:rsidRDefault="00DA617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26F386DD" wp14:editId="775F003D">
            <wp:extent cx="4010400" cy="2388328"/>
            <wp:effectExtent l="0" t="0" r="317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5" t="27797" r="24231" b="34200"/>
                    <a:stretch/>
                  </pic:blipFill>
                  <pic:spPr bwMode="auto">
                    <a:xfrm>
                      <a:off x="0" y="0"/>
                      <a:ext cx="4054344" cy="2414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5B86D" w14:textId="62712E9F" w:rsidR="00DA6179" w:rsidRDefault="00DA617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30B1013" w14:textId="7113A802" w:rsidR="00DA6179" w:rsidRPr="00DA6179" w:rsidRDefault="00DA6179" w:rsidP="00DA6179">
      <w:pPr>
        <w:spacing w:line="276" w:lineRule="auto"/>
        <w:jc w:val="both"/>
        <w:rPr>
          <w:rFonts w:eastAsiaTheme="minorEastAsia"/>
        </w:rPr>
      </w:pPr>
      <w:r>
        <w:rPr>
          <w:rFonts w:ascii="Times New Roman" w:eastAsiaTheme="minorEastAsia" w:hAnsi="Times New Roman"/>
          <w:sz w:val="24"/>
          <w:szCs w:val="24"/>
        </w:rPr>
        <w:t>Ryc. 9.3</w:t>
      </w:r>
      <w:r w:rsidR="00A77DCB">
        <w:rPr>
          <w:rFonts w:ascii="Times New Roman" w:eastAsiaTheme="minorEastAsia" w:hAnsi="Times New Roman"/>
          <w:sz w:val="24"/>
          <w:szCs w:val="24"/>
        </w:rPr>
        <w:t xml:space="preserve">. Półlogarytmiczny przebieg zmian stężenia </w:t>
      </w:r>
      <w:proofErr w:type="spellStart"/>
      <w:r w:rsidR="00A77DCB">
        <w:rPr>
          <w:rFonts w:ascii="Times New Roman" w:eastAsiaTheme="minorEastAsia" w:hAnsi="Times New Roman"/>
          <w:sz w:val="24"/>
          <w:szCs w:val="24"/>
        </w:rPr>
        <w:t>gentamycyny</w:t>
      </w:r>
      <w:proofErr w:type="spellEnd"/>
      <w:r w:rsidR="00A77DCB">
        <w:rPr>
          <w:rFonts w:ascii="Times New Roman" w:eastAsiaTheme="minorEastAsia" w:hAnsi="Times New Roman"/>
          <w:sz w:val="24"/>
          <w:szCs w:val="24"/>
        </w:rPr>
        <w:t xml:space="preserve"> w osoczu w zależności od czasu po podaniu leku w postaci półgodzinnego wlewu dożylnego.</w:t>
      </w:r>
    </w:p>
    <w:p w14:paraId="2B1681E0" w14:textId="2A746958" w:rsidR="00DA6179" w:rsidRDefault="00DA617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7D7C619" w14:textId="00BDB267" w:rsidR="00A77DCB" w:rsidRPr="00A77DCB" w:rsidRDefault="00A77DCB" w:rsidP="00A77DC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użytek terapii monitorowanej do wyznaczenia ekstrapolowanych stężeń </w:t>
      </w:r>
      <w:proofErr w:type="spellStart"/>
      <w:r w:rsidR="00032832" w:rsidRPr="000E01AB">
        <w:rPr>
          <w:rFonts w:ascii="Times New Roman" w:hAnsi="Times New Roman" w:cs="Times New Roman"/>
          <w:sz w:val="24"/>
          <w:szCs w:val="24"/>
        </w:rPr>
        <w:t>C</w:t>
      </w:r>
      <w:r w:rsidR="00032832" w:rsidRPr="000E01AB">
        <w:rPr>
          <w:rFonts w:ascii="Times New Roman" w:hAnsi="Times New Roman" w:cs="Times New Roman"/>
          <w:sz w:val="24"/>
          <w:szCs w:val="24"/>
          <w:vertAlign w:val="subscript"/>
        </w:rPr>
        <w:t>ma</w:t>
      </w:r>
      <w:r w:rsidR="00B877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32832" w:rsidRPr="000E01AB">
        <w:rPr>
          <w:rFonts w:ascii="Times New Roman" w:hAnsi="Times New Roman" w:cs="Times New Roman"/>
          <w:sz w:val="24"/>
          <w:szCs w:val="24"/>
          <w:vertAlign w:val="superscript"/>
        </w:rPr>
        <w:t>ss</w:t>
      </w:r>
      <w:proofErr w:type="spellEnd"/>
      <w:r w:rsidR="000328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32832" w:rsidRPr="000E01AB">
        <w:rPr>
          <w:rFonts w:ascii="Times New Roman" w:hAnsi="Times New Roman" w:cs="Times New Roman"/>
          <w:sz w:val="24"/>
          <w:szCs w:val="24"/>
        </w:rPr>
        <w:t>C</w:t>
      </w:r>
      <w:r w:rsidR="00032832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032832" w:rsidRPr="000E01AB">
        <w:rPr>
          <w:rFonts w:ascii="Times New Roman" w:hAnsi="Times New Roman" w:cs="Times New Roman"/>
          <w:sz w:val="24"/>
          <w:szCs w:val="24"/>
          <w:vertAlign w:val="superscript"/>
        </w:rPr>
        <w:t>ss</w:t>
      </w:r>
      <w:proofErr w:type="spellEnd"/>
      <w:r w:rsidR="0003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wykorzystuje się równania opisujące przebieg zmian stężenia leku w czasie zgodnie z modelem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jednokompartmentowym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F68E9F" w14:textId="575C5A94" w:rsidR="00DA6179" w:rsidRDefault="007021E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Hipotetyczne stężenie maksymalne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osiągane po zakończeniu wlewu można wyznaczyć na podstawie zmierzonej wartości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ss*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>z następującego wzoru:</w:t>
      </w:r>
    </w:p>
    <w:p w14:paraId="1BD6A474" w14:textId="2F4DA093" w:rsidR="007021E9" w:rsidRDefault="00F71E96" w:rsidP="007021E9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</m:sup>
            </m:sSup>
          </m:den>
        </m:f>
      </m:oMath>
      <w:r w:rsidR="007021E9">
        <w:rPr>
          <w:rFonts w:ascii="Times New Roman" w:eastAsiaTheme="minorEastAsia" w:hAnsi="Times New Roman"/>
          <w:sz w:val="24"/>
          <w:szCs w:val="24"/>
        </w:rPr>
        <w:t xml:space="preserve">            (9.11)</w:t>
      </w:r>
    </w:p>
    <w:p w14:paraId="75C2767F" w14:textId="7273C866" w:rsidR="00DA6179" w:rsidRDefault="007021E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gdzie,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="00F96FBC">
        <w:rPr>
          <w:rFonts w:ascii="Times New Roman" w:eastAsiaTheme="minorEastAsia" w:hAnsi="Times New Roman"/>
          <w:sz w:val="24"/>
          <w:szCs w:val="24"/>
        </w:rPr>
        <w:t xml:space="preserve"> - czas od rozpoczęcia wlewu do wystąpienia zmierzonego stężenia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ss*</m:t>
            </m:r>
          </m:sup>
        </m:sSubSup>
      </m:oMath>
      <w:r w:rsidR="00F96FBC">
        <w:rPr>
          <w:rFonts w:ascii="Times New Roman" w:eastAsiaTheme="minorEastAsia" w:hAnsi="Times New Roman"/>
          <w:sz w:val="24"/>
          <w:szCs w:val="24"/>
        </w:rPr>
        <w:t>, T – czas trwania wlewu.</w:t>
      </w:r>
    </w:p>
    <w:p w14:paraId="11F3B210" w14:textId="67C585A9" w:rsidR="00F96FBC" w:rsidRDefault="00F96FBC" w:rsidP="00F96FBC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Natomiast hipotetyczne stężenie minimalne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 osiągane tuż przed podaniem kolejnej dawki leku wyznacza się na podstawie wartości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ss*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/>
          <w:sz w:val="24"/>
          <w:szCs w:val="24"/>
        </w:rPr>
        <w:t>z wzoru:</w:t>
      </w:r>
    </w:p>
    <w:p w14:paraId="1FA58521" w14:textId="02F45C9B" w:rsidR="00987028" w:rsidRDefault="00F71E96" w:rsidP="00987028">
      <w:pPr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min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</m:t>
                    </m:r>
                  </m:sup>
                </m:sSubSup>
              </m:e>
            </m:d>
          </m:sup>
        </m:sSup>
      </m:oMath>
      <w:r w:rsidR="00987028">
        <w:rPr>
          <w:rFonts w:ascii="Times New Roman" w:eastAsiaTheme="minorEastAsia" w:hAnsi="Times New Roman"/>
          <w:sz w:val="24"/>
          <w:szCs w:val="24"/>
        </w:rPr>
        <w:t xml:space="preserve"> (9.12)</w:t>
      </w:r>
    </w:p>
    <w:p w14:paraId="2E2AFEAF" w14:textId="393D7C60" w:rsidR="00987028" w:rsidRDefault="00987028" w:rsidP="00987028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gdzie,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 - czas od rozpoczęcia wlewu do wystąpienia zmierzonego stężenia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ss*</m:t>
            </m:r>
          </m:sup>
        </m:sSubSup>
      </m:oMath>
      <w:r>
        <w:rPr>
          <w:rFonts w:ascii="Times New Roman" w:eastAsiaTheme="minorEastAsia" w:hAnsi="Times New Roman"/>
          <w:sz w:val="24"/>
          <w:szCs w:val="24"/>
        </w:rPr>
        <w:t xml:space="preserve"> (zazwyczaj 7,5 lub 11,5 </w:t>
      </w:r>
      <w:r w:rsidR="00B76783">
        <w:rPr>
          <w:rFonts w:ascii="Times New Roman" w:eastAsiaTheme="minorEastAsia" w:hAnsi="Times New Roman"/>
          <w:sz w:val="24"/>
          <w:szCs w:val="24"/>
        </w:rPr>
        <w:t>h</w:t>
      </w:r>
      <w:r>
        <w:rPr>
          <w:rFonts w:ascii="Times New Roman" w:eastAsiaTheme="minorEastAsia" w:hAnsi="Times New Roman"/>
          <w:sz w:val="24"/>
          <w:szCs w:val="24"/>
        </w:rPr>
        <w:t xml:space="preserve">),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– przedział dawkowania (odpowiednio 8 lub 12 </w:t>
      </w:r>
      <w:r w:rsidR="00B76783">
        <w:rPr>
          <w:rFonts w:ascii="Times New Roman" w:eastAsiaTheme="minorEastAsia" w:hAnsi="Times New Roman"/>
          <w:sz w:val="24"/>
          <w:szCs w:val="24"/>
        </w:rPr>
        <w:t>h</w:t>
      </w:r>
      <w:r>
        <w:rPr>
          <w:rFonts w:ascii="Times New Roman" w:eastAsiaTheme="minorEastAsia" w:hAnsi="Times New Roman"/>
          <w:sz w:val="24"/>
          <w:szCs w:val="24"/>
        </w:rPr>
        <w:t>).</w:t>
      </w:r>
    </w:p>
    <w:p w14:paraId="5EDBF633" w14:textId="4D02D353" w:rsidR="00F96FBC" w:rsidRDefault="00F96FBC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AE21A84" w14:textId="592302EA" w:rsidR="00F96FBC" w:rsidRPr="00B76783" w:rsidRDefault="00B76783" w:rsidP="00B7678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Dawkowanie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pulsowe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7 mg/kg masy ciała w postaci godzinnego wlewu co 24 h.</w:t>
      </w:r>
    </w:p>
    <w:p w14:paraId="45B120D6" w14:textId="350A3FE5" w:rsidR="00DA6179" w:rsidRDefault="007F1932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W licznych badaniach potwierdzono, że podawanie dużych dawek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gentamycyny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raz na dobę przynosi korzyści terapeutyczne, ponieważ uzyskiwane wysokie stężenie maksymalne ok. 25 – 30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g/ml pozwala uzyskać optymalny efekt farmakologiczny, a niskie stężenie minimalne zmniejsza ryzyko działania oto- 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nefrotoksycznego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leku. Ponadto, antybiotyki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aminoglikozydowe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wykazują efekt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poantybiotykowy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który utrzymuje się przez kilka godzin po zakończeniu eliminacji leku z krwi. </w:t>
      </w:r>
      <w:r w:rsidR="00014BB1">
        <w:rPr>
          <w:rFonts w:ascii="Times New Roman" w:eastAsiaTheme="minorEastAsia" w:hAnsi="Times New Roman"/>
          <w:sz w:val="24"/>
          <w:szCs w:val="24"/>
        </w:rPr>
        <w:t xml:space="preserve">W przypadku dawkowania </w:t>
      </w:r>
      <w:proofErr w:type="spellStart"/>
      <w:r w:rsidR="00014BB1">
        <w:rPr>
          <w:rFonts w:ascii="Times New Roman" w:eastAsiaTheme="minorEastAsia" w:hAnsi="Times New Roman"/>
          <w:sz w:val="24"/>
          <w:szCs w:val="24"/>
        </w:rPr>
        <w:t>pulsowego</w:t>
      </w:r>
      <w:proofErr w:type="spellEnd"/>
      <w:r w:rsidR="00014BB1">
        <w:rPr>
          <w:rFonts w:ascii="Times New Roman" w:eastAsiaTheme="minorEastAsia" w:hAnsi="Times New Roman"/>
          <w:sz w:val="24"/>
          <w:szCs w:val="24"/>
        </w:rPr>
        <w:t xml:space="preserve"> monitorowanie stężeń </w:t>
      </w:r>
      <w:proofErr w:type="spellStart"/>
      <w:r w:rsidR="00014BB1">
        <w:rPr>
          <w:rFonts w:ascii="Times New Roman" w:eastAsiaTheme="minorEastAsia" w:hAnsi="Times New Roman"/>
          <w:sz w:val="24"/>
          <w:szCs w:val="24"/>
        </w:rPr>
        <w:t>gentamycyny</w:t>
      </w:r>
      <w:proofErr w:type="spellEnd"/>
      <w:r w:rsidR="00014BB1">
        <w:rPr>
          <w:rFonts w:ascii="Times New Roman" w:eastAsiaTheme="minorEastAsia" w:hAnsi="Times New Roman"/>
          <w:sz w:val="24"/>
          <w:szCs w:val="24"/>
        </w:rPr>
        <w:t xml:space="preserve"> ogranicza się zazwyczaj do pomiaru jednego stężenia miedzy 6 a 14 h od chwili rozpoczęcia wlewu, a do interpretacji wyników używa się nomogramu, który jest przydatny do korekty przedziału dawkowania.</w:t>
      </w:r>
    </w:p>
    <w:p w14:paraId="00DAD262" w14:textId="65C5B757" w:rsidR="00DA6179" w:rsidRDefault="00DA617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D177838" w14:textId="386BEC10" w:rsidR="00DA6179" w:rsidRDefault="00DA6179" w:rsidP="00620554">
      <w:p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68A5CB9" w14:textId="2DC79175" w:rsidR="00E74030" w:rsidRDefault="00E74030" w:rsidP="006F6AD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Gentamycyna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67BE3">
        <w:rPr>
          <w:rFonts w:ascii="Times New Roman" w:hAnsi="Times New Roman"/>
          <w:sz w:val="24"/>
          <w:szCs w:val="24"/>
        </w:rPr>
        <w:t xml:space="preserve">bardzo słabo wiąże się z białkami i </w:t>
      </w:r>
      <w:r>
        <w:rPr>
          <w:rFonts w:ascii="Times New Roman" w:hAnsi="Times New Roman"/>
          <w:sz w:val="24"/>
          <w:szCs w:val="24"/>
        </w:rPr>
        <w:t xml:space="preserve">wydalana jest </w:t>
      </w:r>
      <w:r w:rsidR="00767BE3">
        <w:rPr>
          <w:rFonts w:ascii="Times New Roman" w:hAnsi="Times New Roman"/>
          <w:sz w:val="24"/>
          <w:szCs w:val="24"/>
        </w:rPr>
        <w:t xml:space="preserve">w postaci niezmienionej </w:t>
      </w:r>
      <w:r>
        <w:rPr>
          <w:rFonts w:ascii="Times New Roman" w:hAnsi="Times New Roman"/>
          <w:sz w:val="24"/>
          <w:szCs w:val="24"/>
        </w:rPr>
        <w:t>wyłącznie przez nerki drogą przesączania kłębuszkowego</w:t>
      </w:r>
      <w:r w:rsidR="00767BE3">
        <w:rPr>
          <w:rFonts w:ascii="Times New Roman" w:hAnsi="Times New Roman"/>
          <w:sz w:val="24"/>
          <w:szCs w:val="24"/>
        </w:rPr>
        <w:t xml:space="preserve">. W związku z tym </w:t>
      </w:r>
      <w:proofErr w:type="spellStart"/>
      <w:r w:rsidR="00767BE3">
        <w:rPr>
          <w:rFonts w:ascii="Times New Roman" w:hAnsi="Times New Roman"/>
          <w:sz w:val="24"/>
          <w:szCs w:val="24"/>
        </w:rPr>
        <w:t>klirens</w:t>
      </w:r>
      <w:proofErr w:type="spellEnd"/>
      <w:r w:rsidR="00767BE3">
        <w:rPr>
          <w:rFonts w:ascii="Times New Roman" w:hAnsi="Times New Roman"/>
          <w:sz w:val="24"/>
          <w:szCs w:val="24"/>
        </w:rPr>
        <w:t xml:space="preserve"> leku można oszacować na podstawie </w:t>
      </w:r>
      <w:proofErr w:type="spellStart"/>
      <w:r w:rsidR="00767BE3">
        <w:rPr>
          <w:rFonts w:ascii="Times New Roman" w:hAnsi="Times New Roman"/>
          <w:sz w:val="24"/>
          <w:szCs w:val="24"/>
        </w:rPr>
        <w:t>klirensu</w:t>
      </w:r>
      <w:proofErr w:type="spellEnd"/>
      <w:r w:rsidR="00767BE3">
        <w:rPr>
          <w:rFonts w:ascii="Times New Roman" w:hAnsi="Times New Roman"/>
          <w:sz w:val="24"/>
          <w:szCs w:val="24"/>
        </w:rPr>
        <w:t xml:space="preserve"> kreatyniny. Biologiczny okres półtrwania </w:t>
      </w:r>
      <w:proofErr w:type="spellStart"/>
      <w:r w:rsidR="001E6DE7">
        <w:rPr>
          <w:rFonts w:ascii="Times New Roman" w:hAnsi="Times New Roman"/>
          <w:sz w:val="24"/>
          <w:szCs w:val="24"/>
        </w:rPr>
        <w:t>gentamycyny</w:t>
      </w:r>
      <w:proofErr w:type="spellEnd"/>
      <w:r w:rsidR="001E6DE7">
        <w:rPr>
          <w:rFonts w:ascii="Times New Roman" w:hAnsi="Times New Roman"/>
          <w:sz w:val="24"/>
          <w:szCs w:val="24"/>
        </w:rPr>
        <w:t xml:space="preserve"> </w:t>
      </w:r>
      <w:r w:rsidR="00767BE3">
        <w:rPr>
          <w:rFonts w:ascii="Times New Roman" w:hAnsi="Times New Roman"/>
          <w:sz w:val="24"/>
          <w:szCs w:val="24"/>
        </w:rPr>
        <w:t xml:space="preserve">u pacjentów z normalną funkcją nerek wynosi 2-3 h. U noworodków ze względu na niedojrzałość </w:t>
      </w:r>
      <w:r w:rsidR="001E6DE7">
        <w:rPr>
          <w:rFonts w:ascii="Times New Roman" w:hAnsi="Times New Roman"/>
          <w:sz w:val="24"/>
          <w:szCs w:val="24"/>
        </w:rPr>
        <w:t>narządu</w:t>
      </w:r>
      <w:r w:rsidR="00767BE3">
        <w:rPr>
          <w:rFonts w:ascii="Times New Roman" w:hAnsi="Times New Roman"/>
          <w:sz w:val="24"/>
          <w:szCs w:val="24"/>
        </w:rPr>
        <w:t xml:space="preserve"> </w:t>
      </w:r>
      <w:r w:rsidR="001E6DE7">
        <w:rPr>
          <w:rFonts w:ascii="Times New Roman" w:hAnsi="Times New Roman"/>
          <w:sz w:val="24"/>
          <w:szCs w:val="24"/>
        </w:rPr>
        <w:t xml:space="preserve">średnia wartość tego parametru wynosi </w:t>
      </w:r>
      <w:r w:rsidR="00767BE3">
        <w:rPr>
          <w:rFonts w:ascii="Times New Roman" w:hAnsi="Times New Roman"/>
          <w:sz w:val="24"/>
          <w:szCs w:val="24"/>
        </w:rPr>
        <w:t xml:space="preserve">8 h. </w:t>
      </w:r>
      <w:r w:rsidR="00767BE3" w:rsidRPr="00767BE3">
        <w:rPr>
          <w:rFonts w:ascii="Times New Roman" w:hAnsi="Times New Roman"/>
          <w:sz w:val="24"/>
          <w:szCs w:val="24"/>
        </w:rPr>
        <w:t xml:space="preserve">U pacjentów z zaburzoną czynnością nerek okres półtrwania jest przedłużony </w:t>
      </w:r>
      <w:r w:rsidR="001E6DE7">
        <w:rPr>
          <w:rFonts w:ascii="Times New Roman" w:hAnsi="Times New Roman"/>
          <w:sz w:val="24"/>
          <w:szCs w:val="24"/>
        </w:rPr>
        <w:t xml:space="preserve">w </w:t>
      </w:r>
      <w:r w:rsidR="00767BE3" w:rsidRPr="00767BE3">
        <w:rPr>
          <w:rFonts w:ascii="Times New Roman" w:hAnsi="Times New Roman"/>
          <w:sz w:val="24"/>
          <w:szCs w:val="24"/>
        </w:rPr>
        <w:t xml:space="preserve">zależności od stopnia </w:t>
      </w:r>
      <w:r w:rsidR="001E6DE7">
        <w:rPr>
          <w:rFonts w:ascii="Times New Roman" w:hAnsi="Times New Roman"/>
          <w:sz w:val="24"/>
          <w:szCs w:val="24"/>
        </w:rPr>
        <w:t>niewydolności</w:t>
      </w:r>
      <w:r w:rsidR="00767BE3" w:rsidRPr="00767BE3">
        <w:rPr>
          <w:rFonts w:ascii="Times New Roman" w:hAnsi="Times New Roman"/>
          <w:sz w:val="24"/>
          <w:szCs w:val="24"/>
        </w:rPr>
        <w:t xml:space="preserve"> nerek</w:t>
      </w:r>
      <w:r w:rsidR="001E6DE7">
        <w:rPr>
          <w:rFonts w:ascii="Times New Roman" w:hAnsi="Times New Roman"/>
          <w:sz w:val="24"/>
          <w:szCs w:val="24"/>
        </w:rPr>
        <w:t xml:space="preserve"> i wymaga korekty dawkowania w oparciu o </w:t>
      </w:r>
      <w:proofErr w:type="spellStart"/>
      <w:r w:rsidR="001E6DE7">
        <w:rPr>
          <w:rFonts w:ascii="Times New Roman" w:hAnsi="Times New Roman"/>
          <w:sz w:val="24"/>
          <w:szCs w:val="24"/>
        </w:rPr>
        <w:t>klirens</w:t>
      </w:r>
      <w:proofErr w:type="spellEnd"/>
      <w:r w:rsidR="001E6DE7">
        <w:rPr>
          <w:rFonts w:ascii="Times New Roman" w:hAnsi="Times New Roman"/>
          <w:sz w:val="24"/>
          <w:szCs w:val="24"/>
        </w:rPr>
        <w:t xml:space="preserve"> kreatyniny</w:t>
      </w:r>
      <w:r w:rsidR="00767BE3" w:rsidRPr="00767BE3">
        <w:rPr>
          <w:rFonts w:ascii="Times New Roman" w:hAnsi="Times New Roman"/>
          <w:sz w:val="24"/>
          <w:szCs w:val="24"/>
        </w:rPr>
        <w:t>.</w:t>
      </w:r>
    </w:p>
    <w:p w14:paraId="23D2CAF7" w14:textId="2B20F9D1" w:rsidR="00E74030" w:rsidRDefault="00E74030" w:rsidP="0062055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B1C9647" w14:textId="76DF9A15" w:rsidR="00AB751C" w:rsidRPr="00AB751C" w:rsidRDefault="00AB751C" w:rsidP="00AB751C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B75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Terapeutyczne monitorowanie </w:t>
      </w:r>
      <w:proofErr w:type="spellStart"/>
      <w:r w:rsidRPr="00AB75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gentamycyny</w:t>
      </w:r>
      <w:proofErr w:type="spellEnd"/>
      <w:r w:rsidRPr="00AB75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oparciu o kryteria PK/PD </w:t>
      </w:r>
    </w:p>
    <w:p w14:paraId="5C74FB47" w14:textId="2834B0BD" w:rsidR="00AB751C" w:rsidRPr="00AB751C" w:rsidRDefault="00517947" w:rsidP="00AB751C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Ze względu na rosnącą oporność drobnoustrojów na antybiotyki</w:t>
      </w:r>
      <w:r w:rsidR="00F71E96">
        <w:rPr>
          <w:color w:val="000000" w:themeColor="text1"/>
        </w:rPr>
        <w:t>,</w:t>
      </w:r>
      <w:r w:rsidR="00AB751C" w:rsidRPr="00AB75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wynikającą między innymi z niewłaściwego ich dawkowania, coraz bardziej popularna staje się </w:t>
      </w:r>
      <w:r w:rsidR="00AB751C" w:rsidRPr="00AB751C">
        <w:rPr>
          <w:color w:val="000000" w:themeColor="text1"/>
        </w:rPr>
        <w:t>koncepcj</w:t>
      </w:r>
      <w:r w:rsidR="00AB751C">
        <w:rPr>
          <w:color w:val="000000" w:themeColor="text1"/>
        </w:rPr>
        <w:t>a</w:t>
      </w:r>
      <w:r w:rsidR="00AB751C" w:rsidRPr="00AB751C">
        <w:rPr>
          <w:color w:val="000000" w:themeColor="text1"/>
        </w:rPr>
        <w:t xml:space="preserve"> optymalizacji leczenia przeciwbakteryjnego opart</w:t>
      </w:r>
      <w:r w:rsidR="00AB751C">
        <w:rPr>
          <w:color w:val="000000" w:themeColor="text1"/>
        </w:rPr>
        <w:t>a</w:t>
      </w:r>
      <w:r w:rsidR="00AB751C" w:rsidRPr="00AB751C">
        <w:rPr>
          <w:color w:val="000000" w:themeColor="text1"/>
        </w:rPr>
        <w:t xml:space="preserve"> na</w:t>
      </w:r>
      <w:r w:rsidR="00AB751C">
        <w:rPr>
          <w:color w:val="000000" w:themeColor="text1"/>
        </w:rPr>
        <w:t xml:space="preserve"> </w:t>
      </w:r>
      <w:r w:rsidR="00AB751C" w:rsidRPr="00AB751C">
        <w:rPr>
          <w:color w:val="000000" w:themeColor="text1"/>
        </w:rPr>
        <w:t>kryteriach farmakokinetyczno-farmakodynamicznych (PK/PD).</w:t>
      </w:r>
      <w:r w:rsidR="00AB751C">
        <w:rPr>
          <w:color w:val="000000" w:themeColor="text1"/>
        </w:rPr>
        <w:t xml:space="preserve"> Koncepcja ta </w:t>
      </w:r>
      <w:r w:rsidR="00AB751C" w:rsidRPr="00AB751C">
        <w:rPr>
          <w:color w:val="000000" w:themeColor="text1"/>
        </w:rPr>
        <w:t>polega na</w:t>
      </w:r>
      <w:r w:rsidR="00AB751C">
        <w:rPr>
          <w:color w:val="000000" w:themeColor="text1"/>
        </w:rPr>
        <w:t xml:space="preserve"> indywidualizacji dawkowania </w:t>
      </w:r>
      <w:r w:rsidR="00C230BD">
        <w:rPr>
          <w:color w:val="000000" w:themeColor="text1"/>
        </w:rPr>
        <w:t xml:space="preserve">zarówno </w:t>
      </w:r>
      <w:r w:rsidR="00AB751C">
        <w:rPr>
          <w:color w:val="000000" w:themeColor="text1"/>
        </w:rPr>
        <w:t>w oparciu o</w:t>
      </w:r>
      <w:r w:rsidR="00AB751C" w:rsidRPr="00AB751C">
        <w:rPr>
          <w:color w:val="000000" w:themeColor="text1"/>
        </w:rPr>
        <w:t xml:space="preserve"> </w:t>
      </w:r>
      <w:r w:rsidR="00AB751C">
        <w:rPr>
          <w:color w:val="000000" w:themeColor="text1"/>
        </w:rPr>
        <w:t>parametry</w:t>
      </w:r>
      <w:r w:rsidR="00AB751C" w:rsidRPr="00AB751C">
        <w:rPr>
          <w:color w:val="000000" w:themeColor="text1"/>
        </w:rPr>
        <w:t xml:space="preserve"> farmakokinetyczn</w:t>
      </w:r>
      <w:r w:rsidR="00AB751C">
        <w:rPr>
          <w:color w:val="000000" w:themeColor="text1"/>
        </w:rPr>
        <w:t>e</w:t>
      </w:r>
      <w:r w:rsidR="00C230BD">
        <w:rPr>
          <w:color w:val="000000" w:themeColor="text1"/>
        </w:rPr>
        <w:t>,</w:t>
      </w:r>
      <w:r w:rsidR="00AB751C" w:rsidRPr="00AB751C">
        <w:rPr>
          <w:color w:val="000000" w:themeColor="text1"/>
        </w:rPr>
        <w:t xml:space="preserve"> </w:t>
      </w:r>
      <w:r w:rsidR="00C230BD">
        <w:rPr>
          <w:color w:val="000000" w:themeColor="text1"/>
        </w:rPr>
        <w:t xml:space="preserve">takie jak </w:t>
      </w:r>
      <w:proofErr w:type="spellStart"/>
      <w:r w:rsidR="00AB751C" w:rsidRPr="000E01AB">
        <w:t>C</w:t>
      </w:r>
      <w:r w:rsidR="00AB751C" w:rsidRPr="000E01AB">
        <w:rPr>
          <w:vertAlign w:val="subscript"/>
        </w:rPr>
        <w:t>ma</w:t>
      </w:r>
      <w:r w:rsidR="00AB751C">
        <w:rPr>
          <w:vertAlign w:val="subscript"/>
        </w:rPr>
        <w:t>x</w:t>
      </w:r>
      <w:r w:rsidR="00AB751C" w:rsidRPr="000E01AB">
        <w:rPr>
          <w:vertAlign w:val="superscript"/>
        </w:rPr>
        <w:t>ss</w:t>
      </w:r>
      <w:proofErr w:type="spellEnd"/>
      <w:r w:rsidR="00AB751C">
        <w:rPr>
          <w:rStyle w:val="apple-converted-space"/>
          <w:color w:val="000000" w:themeColor="text1"/>
        </w:rPr>
        <w:t xml:space="preserve"> </w:t>
      </w:r>
      <w:r w:rsidR="00C230BD">
        <w:rPr>
          <w:color w:val="000000" w:themeColor="text1"/>
        </w:rPr>
        <w:t>i</w:t>
      </w:r>
      <w:r w:rsidR="00AB751C" w:rsidRPr="00AB751C">
        <w:rPr>
          <w:color w:val="000000" w:themeColor="text1"/>
        </w:rPr>
        <w:t xml:space="preserve"> AUC</w:t>
      </w:r>
      <w:r w:rsidR="00C230BD">
        <w:rPr>
          <w:color w:val="000000" w:themeColor="text1"/>
        </w:rPr>
        <w:t>,</w:t>
      </w:r>
      <w:r w:rsidR="00AB751C">
        <w:rPr>
          <w:color w:val="000000" w:themeColor="text1"/>
        </w:rPr>
        <w:t xml:space="preserve"> </w:t>
      </w:r>
      <w:r w:rsidR="00C230BD">
        <w:rPr>
          <w:color w:val="000000" w:themeColor="text1"/>
        </w:rPr>
        <w:t>jak również</w:t>
      </w:r>
      <w:r w:rsidR="00AB751C" w:rsidRPr="00AB751C">
        <w:rPr>
          <w:color w:val="000000" w:themeColor="text1"/>
        </w:rPr>
        <w:t xml:space="preserve"> </w:t>
      </w:r>
      <w:r w:rsidR="00AB751C">
        <w:rPr>
          <w:color w:val="000000" w:themeColor="text1"/>
        </w:rPr>
        <w:t xml:space="preserve">parametr </w:t>
      </w:r>
      <w:r w:rsidR="00AB751C" w:rsidRPr="00AB751C">
        <w:rPr>
          <w:color w:val="000000" w:themeColor="text1"/>
        </w:rPr>
        <w:t>farmakodynamiczn</w:t>
      </w:r>
      <w:r w:rsidR="00AB751C">
        <w:rPr>
          <w:color w:val="000000" w:themeColor="text1"/>
        </w:rPr>
        <w:t>y</w:t>
      </w:r>
      <w:r w:rsidR="00AB751C" w:rsidRPr="00AB751C">
        <w:rPr>
          <w:color w:val="000000" w:themeColor="text1"/>
        </w:rPr>
        <w:t xml:space="preserve"> MIC</w:t>
      </w:r>
      <w:r w:rsidR="00C230BD">
        <w:rPr>
          <w:color w:val="000000" w:themeColor="text1"/>
        </w:rPr>
        <w:t>, przy czym należy uwzględnić</w:t>
      </w:r>
      <w:r w:rsidR="00AB751C" w:rsidRPr="00AB751C">
        <w:rPr>
          <w:color w:val="000000" w:themeColor="text1"/>
        </w:rPr>
        <w:t xml:space="preserve"> model działania przeciwbakteryjnego </w:t>
      </w:r>
      <w:r>
        <w:rPr>
          <w:color w:val="000000" w:themeColor="text1"/>
        </w:rPr>
        <w:t xml:space="preserve">leku </w:t>
      </w:r>
      <w:r w:rsidR="00AB751C" w:rsidRPr="00AB751C">
        <w:rPr>
          <w:color w:val="000000" w:themeColor="text1"/>
        </w:rPr>
        <w:t>(zależny od stężenia lub czasu).</w:t>
      </w:r>
      <w:r w:rsidR="00C230BD">
        <w:rPr>
          <w:color w:val="000000" w:themeColor="text1"/>
        </w:rPr>
        <w:t xml:space="preserve"> </w:t>
      </w:r>
      <w:r w:rsidR="00AB751C" w:rsidRPr="00AB751C">
        <w:rPr>
          <w:color w:val="000000" w:themeColor="text1"/>
        </w:rPr>
        <w:t xml:space="preserve">Antybiotyki </w:t>
      </w:r>
      <w:proofErr w:type="spellStart"/>
      <w:r w:rsidR="00AB751C" w:rsidRPr="00AB751C">
        <w:rPr>
          <w:color w:val="000000" w:themeColor="text1"/>
        </w:rPr>
        <w:t>aminoglikozydowe</w:t>
      </w:r>
      <w:proofErr w:type="spellEnd"/>
      <w:r w:rsidR="00AB751C" w:rsidRPr="00AB751C">
        <w:rPr>
          <w:color w:val="000000" w:themeColor="text1"/>
        </w:rPr>
        <w:t xml:space="preserve"> należą do</w:t>
      </w:r>
      <w:r w:rsidR="00AB751C">
        <w:rPr>
          <w:color w:val="000000" w:themeColor="text1"/>
        </w:rPr>
        <w:t xml:space="preserve"> </w:t>
      </w:r>
      <w:r w:rsidR="00AB751C" w:rsidRPr="00AB751C">
        <w:rPr>
          <w:color w:val="000000" w:themeColor="text1"/>
        </w:rPr>
        <w:t>grupy leków przeciwbakteryjnych, których działanie zależy od stężenia, jakie osiągają we krwi</w:t>
      </w:r>
      <w:r w:rsidR="00C230BD">
        <w:rPr>
          <w:color w:val="000000" w:themeColor="text1"/>
        </w:rPr>
        <w:t>. W związku z tym, p</w:t>
      </w:r>
      <w:r w:rsidR="00AB751C" w:rsidRPr="00AB751C">
        <w:rPr>
          <w:color w:val="000000" w:themeColor="text1"/>
        </w:rPr>
        <w:t>arametr</w:t>
      </w:r>
      <w:r w:rsidR="00C230BD">
        <w:rPr>
          <w:color w:val="000000" w:themeColor="text1"/>
        </w:rPr>
        <w:t>ami</w:t>
      </w:r>
      <w:r w:rsidR="00AB751C" w:rsidRPr="00AB751C">
        <w:rPr>
          <w:color w:val="000000" w:themeColor="text1"/>
        </w:rPr>
        <w:t xml:space="preserve"> korelującym</w:t>
      </w:r>
      <w:r w:rsidR="00C230BD">
        <w:rPr>
          <w:color w:val="000000" w:themeColor="text1"/>
        </w:rPr>
        <w:t>i</w:t>
      </w:r>
      <w:r w:rsidR="00AB751C" w:rsidRPr="00AB751C">
        <w:rPr>
          <w:color w:val="000000" w:themeColor="text1"/>
        </w:rPr>
        <w:t xml:space="preserve"> ze</w:t>
      </w:r>
      <w:r w:rsidR="00C230BD">
        <w:rPr>
          <w:color w:val="000000" w:themeColor="text1"/>
        </w:rPr>
        <w:t xml:space="preserve"> </w:t>
      </w:r>
      <w:r w:rsidR="00AB751C" w:rsidRPr="00AB751C">
        <w:rPr>
          <w:color w:val="000000" w:themeColor="text1"/>
        </w:rPr>
        <w:t xml:space="preserve">skutecznością leczenia </w:t>
      </w:r>
      <w:r w:rsidR="00C230BD">
        <w:rPr>
          <w:color w:val="000000" w:themeColor="text1"/>
        </w:rPr>
        <w:t>są</w:t>
      </w:r>
      <w:r w:rsidR="00AB751C" w:rsidRPr="00AB751C">
        <w:rPr>
          <w:color w:val="000000" w:themeColor="text1"/>
        </w:rPr>
        <w:t xml:space="preserve"> w</w:t>
      </w:r>
      <w:r w:rsidR="00C230BD">
        <w:rPr>
          <w:color w:val="000000" w:themeColor="text1"/>
        </w:rPr>
        <w:t xml:space="preserve"> </w:t>
      </w:r>
      <w:r w:rsidR="00AB751C" w:rsidRPr="00AB751C">
        <w:rPr>
          <w:color w:val="000000" w:themeColor="text1"/>
        </w:rPr>
        <w:t>tym przypadku stosun</w:t>
      </w:r>
      <w:r w:rsidR="00F71E96">
        <w:rPr>
          <w:color w:val="000000" w:themeColor="text1"/>
        </w:rPr>
        <w:t xml:space="preserve">ki </w:t>
      </w:r>
      <w:proofErr w:type="spellStart"/>
      <w:r w:rsidR="00C230BD" w:rsidRPr="000E01AB">
        <w:t>C</w:t>
      </w:r>
      <w:r w:rsidR="00C230BD" w:rsidRPr="000E01AB">
        <w:rPr>
          <w:vertAlign w:val="subscript"/>
        </w:rPr>
        <w:t>ma</w:t>
      </w:r>
      <w:r w:rsidR="00C230BD">
        <w:rPr>
          <w:vertAlign w:val="subscript"/>
        </w:rPr>
        <w:t>x</w:t>
      </w:r>
      <w:r w:rsidR="00C230BD" w:rsidRPr="000E01AB">
        <w:rPr>
          <w:vertAlign w:val="superscript"/>
        </w:rPr>
        <w:t>ss</w:t>
      </w:r>
      <w:proofErr w:type="spellEnd"/>
      <w:r w:rsidR="00AB751C" w:rsidRPr="00AB751C">
        <w:rPr>
          <w:color w:val="000000" w:themeColor="text1"/>
        </w:rPr>
        <w:t>/MIC oraz</w:t>
      </w:r>
      <w:r w:rsidR="00C230BD">
        <w:rPr>
          <w:color w:val="000000" w:themeColor="text1"/>
        </w:rPr>
        <w:t xml:space="preserve"> </w:t>
      </w:r>
      <w:r w:rsidR="00AB751C" w:rsidRPr="00AB751C">
        <w:rPr>
          <w:color w:val="000000" w:themeColor="text1"/>
        </w:rPr>
        <w:t>AUC/MIC</w:t>
      </w:r>
      <w:r w:rsidR="00C230BD">
        <w:rPr>
          <w:color w:val="000000" w:themeColor="text1"/>
        </w:rPr>
        <w:t>. Ich</w:t>
      </w:r>
      <w:r w:rsidR="00AB751C" w:rsidRPr="00AB751C">
        <w:rPr>
          <w:color w:val="000000" w:themeColor="text1"/>
        </w:rPr>
        <w:t xml:space="preserve"> optymalne wartości dla </w:t>
      </w:r>
      <w:proofErr w:type="spellStart"/>
      <w:r w:rsidR="004B0E6D">
        <w:rPr>
          <w:color w:val="000000" w:themeColor="text1"/>
        </w:rPr>
        <w:t>gentamycyny</w:t>
      </w:r>
      <w:proofErr w:type="spellEnd"/>
      <w:r w:rsidR="00AB751C" w:rsidRPr="00AB751C">
        <w:rPr>
          <w:color w:val="000000" w:themeColor="text1"/>
        </w:rPr>
        <w:t xml:space="preserve"> wynoszą odpowiednio </w:t>
      </w:r>
      <m:oMath>
        <m:r>
          <w:rPr>
            <w:rFonts w:ascii="Cambria Math" w:hAnsi="Cambria Math"/>
            <w:color w:val="000000" w:themeColor="text1"/>
          </w:rPr>
          <m:t>≥</m:t>
        </m:r>
      </m:oMath>
      <w:r w:rsidR="00AB751C" w:rsidRPr="00AB751C">
        <w:rPr>
          <w:color w:val="000000" w:themeColor="text1"/>
        </w:rPr>
        <w:t xml:space="preserve">8-10 oraz </w:t>
      </w:r>
      <w:r w:rsidR="006F6AD6">
        <w:rPr>
          <w:color w:val="000000" w:themeColor="text1"/>
        </w:rPr>
        <w:t>70 - 100</w:t>
      </w:r>
      <w:r w:rsidR="00AB751C" w:rsidRPr="00AB751C">
        <w:rPr>
          <w:color w:val="000000" w:themeColor="text1"/>
        </w:rPr>
        <w:t>.</w:t>
      </w:r>
      <w:r>
        <w:rPr>
          <w:color w:val="000000" w:themeColor="text1"/>
        </w:rPr>
        <w:t xml:space="preserve"> Z przeprowadzonych badań wynika, że zastosowanie kryteriów PK/PD w terapeutycznym monitorowaniu antybiotyków </w:t>
      </w:r>
      <w:proofErr w:type="spellStart"/>
      <w:r>
        <w:rPr>
          <w:color w:val="000000" w:themeColor="text1"/>
        </w:rPr>
        <w:t>aminoglikozydowych</w:t>
      </w:r>
      <w:proofErr w:type="spellEnd"/>
      <w:r>
        <w:rPr>
          <w:color w:val="000000" w:themeColor="text1"/>
        </w:rPr>
        <w:t xml:space="preserve"> pozwala zwiększyć </w:t>
      </w:r>
      <w:r w:rsidRPr="00AB751C">
        <w:rPr>
          <w:color w:val="000000" w:themeColor="text1"/>
        </w:rPr>
        <w:t xml:space="preserve">skuteczność </w:t>
      </w:r>
      <w:r>
        <w:rPr>
          <w:color w:val="000000" w:themeColor="text1"/>
        </w:rPr>
        <w:t>antybiotykoterapii do</w:t>
      </w:r>
      <w:r w:rsidRPr="00AB751C">
        <w:rPr>
          <w:color w:val="000000" w:themeColor="text1"/>
        </w:rPr>
        <w:t xml:space="preserve"> 90%</w:t>
      </w:r>
      <w:r>
        <w:rPr>
          <w:color w:val="000000" w:themeColor="text1"/>
        </w:rPr>
        <w:t>, znacząco zmniejsza śmiertelność</w:t>
      </w:r>
      <w:r w:rsidR="00F71E96">
        <w:rPr>
          <w:color w:val="000000" w:themeColor="text1"/>
        </w:rPr>
        <w:t xml:space="preserve"> pacjentów</w:t>
      </w:r>
      <w:r>
        <w:rPr>
          <w:color w:val="000000" w:themeColor="text1"/>
        </w:rPr>
        <w:t xml:space="preserve"> i czas hospitalizacji.</w:t>
      </w:r>
    </w:p>
    <w:p w14:paraId="01A494BB" w14:textId="77777777" w:rsidR="00AB751C" w:rsidRPr="00AB751C" w:rsidRDefault="00AB751C" w:rsidP="00AB751C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A0198F" w14:textId="77CA37FD" w:rsidR="00620554" w:rsidRDefault="00620554" w:rsidP="0062055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Piśmiennictwo:</w:t>
      </w:r>
    </w:p>
    <w:p w14:paraId="0C014351" w14:textId="77777777" w:rsidR="00620554" w:rsidRDefault="00620554" w:rsidP="0062055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Hermann T.W.: Farmakokinetyka. Teoria i praktyka. Wydanie I. Wydawnictwo Lekarskie PZWL, Warszawa 2002.</w:t>
      </w:r>
    </w:p>
    <w:p w14:paraId="27802F07" w14:textId="77777777" w:rsidR="00620554" w:rsidRDefault="00620554" w:rsidP="0062055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Wyska</w:t>
      </w:r>
      <w:proofErr w:type="spellEnd"/>
      <w:r>
        <w:rPr>
          <w:rFonts w:ascii="Times New Roman" w:hAnsi="Times New Roman"/>
          <w:sz w:val="24"/>
          <w:szCs w:val="24"/>
        </w:rPr>
        <w:t xml:space="preserve"> E. (Red.): Farmakokinetyka. Podstawy i znaczenie praktyczne. Podręcznik dla studentów farmacji. Wydanie I polskie. </w:t>
      </w:r>
      <w:proofErr w:type="spellStart"/>
      <w:r>
        <w:rPr>
          <w:rFonts w:ascii="Times New Roman" w:hAnsi="Times New Roman"/>
          <w:sz w:val="24"/>
          <w:szCs w:val="24"/>
        </w:rPr>
        <w:t>MedPharm</w:t>
      </w:r>
      <w:proofErr w:type="spellEnd"/>
      <w:r>
        <w:rPr>
          <w:rFonts w:ascii="Times New Roman" w:hAnsi="Times New Roman"/>
          <w:sz w:val="24"/>
          <w:szCs w:val="24"/>
        </w:rPr>
        <w:t xml:space="preserve"> Polska, Wrocław 2013.</w:t>
      </w:r>
    </w:p>
    <w:p w14:paraId="7B98E6A6" w14:textId="77777777" w:rsidR="00620554" w:rsidRDefault="00620554" w:rsidP="0062055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Janicki S., </w:t>
      </w:r>
      <w:proofErr w:type="spellStart"/>
      <w:r>
        <w:rPr>
          <w:rFonts w:ascii="Times New Roman" w:hAnsi="Times New Roman"/>
          <w:sz w:val="24"/>
          <w:szCs w:val="24"/>
        </w:rPr>
        <w:t>Fiebig</w:t>
      </w:r>
      <w:proofErr w:type="spellEnd"/>
      <w:r>
        <w:rPr>
          <w:rFonts w:ascii="Times New Roman" w:hAnsi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</w:rPr>
        <w:t>Sznitowska</w:t>
      </w:r>
      <w:proofErr w:type="spellEnd"/>
      <w:r>
        <w:rPr>
          <w:rFonts w:ascii="Times New Roman" w:hAnsi="Times New Roman"/>
          <w:sz w:val="24"/>
          <w:szCs w:val="24"/>
        </w:rPr>
        <w:t xml:space="preserve"> M. (Red.): Farmacja stosowana. Wydanie IV popr. i uzup. Wydawnictwo Lekarskie PZWL, Warszawa 2006.</w:t>
      </w:r>
    </w:p>
    <w:p w14:paraId="1887A725" w14:textId="77777777" w:rsidR="008D05C5" w:rsidRDefault="00620554" w:rsidP="0062055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Walker R., Whittlesea C (Eds.): Clinical pharmacy and therapeutics. 5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Edition.</w:t>
      </w:r>
      <w:r w:rsidR="008D05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Churchill Livingstone Elsevier, London 2012.</w:t>
      </w:r>
    </w:p>
    <w:p w14:paraId="54841191" w14:textId="5D958938" w:rsidR="00D05118" w:rsidRDefault="008D05C5" w:rsidP="00B76783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5C5">
        <w:rPr>
          <w:rFonts w:ascii="Times New Roman" w:hAnsi="Times New Roman"/>
          <w:sz w:val="24"/>
          <w:szCs w:val="24"/>
        </w:rPr>
        <w:t>Gentamicin</w:t>
      </w:r>
      <w:proofErr w:type="spellEnd"/>
      <w:r w:rsidRPr="008D05C5">
        <w:rPr>
          <w:rFonts w:ascii="Times New Roman" w:hAnsi="Times New Roman"/>
          <w:sz w:val="24"/>
          <w:szCs w:val="24"/>
        </w:rPr>
        <w:t xml:space="preserve"> B. Braun. Charakterystyka Produktu Leczniczego.</w:t>
      </w:r>
    </w:p>
    <w:p w14:paraId="4CBE232D" w14:textId="2CB74C9B" w:rsidR="006F6AD6" w:rsidRPr="006F6AD6" w:rsidRDefault="006F6AD6" w:rsidP="00B76783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6AD6">
        <w:rPr>
          <w:rFonts w:ascii="Times New Roman" w:hAnsi="Times New Roman"/>
          <w:sz w:val="24"/>
          <w:szCs w:val="24"/>
          <w:lang w:val="en-US"/>
        </w:rPr>
        <w:t>Hodiamont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C.J.</w:t>
      </w:r>
      <w:r w:rsidRPr="006F6AD6">
        <w:rPr>
          <w:rFonts w:ascii="Times New Roman" w:hAnsi="Times New Roman"/>
          <w:sz w:val="24"/>
          <w:szCs w:val="24"/>
          <w:lang w:val="en-US"/>
        </w:rPr>
        <w:t>, van den Broek</w:t>
      </w:r>
      <w:r>
        <w:rPr>
          <w:rFonts w:ascii="Times New Roman" w:hAnsi="Times New Roman"/>
          <w:sz w:val="24"/>
          <w:szCs w:val="24"/>
          <w:lang w:val="en-US"/>
        </w:rPr>
        <w:t xml:space="preserve"> A.K.</w:t>
      </w:r>
      <w:r w:rsidRPr="006F6AD6">
        <w:rPr>
          <w:rFonts w:ascii="Times New Roman" w:hAnsi="Times New Roman"/>
          <w:sz w:val="24"/>
          <w:szCs w:val="24"/>
          <w:lang w:val="en-US"/>
        </w:rPr>
        <w:t>, de Vroom</w:t>
      </w:r>
      <w:r>
        <w:rPr>
          <w:rFonts w:ascii="Times New Roman" w:hAnsi="Times New Roman"/>
          <w:sz w:val="24"/>
          <w:szCs w:val="24"/>
          <w:lang w:val="en-US"/>
        </w:rPr>
        <w:t xml:space="preserve"> S.L.</w:t>
      </w:r>
      <w:r w:rsidRPr="006F6A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F6AD6">
        <w:rPr>
          <w:rFonts w:ascii="Times New Roman" w:hAnsi="Times New Roman"/>
          <w:sz w:val="24"/>
          <w:szCs w:val="24"/>
          <w:lang w:val="en-US"/>
        </w:rPr>
        <w:t>Prins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J.M.</w:t>
      </w:r>
      <w:r w:rsidRPr="006F6A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F6AD6">
        <w:rPr>
          <w:rFonts w:ascii="Times New Roman" w:hAnsi="Times New Roman"/>
          <w:sz w:val="24"/>
          <w:szCs w:val="24"/>
          <w:lang w:val="en-US"/>
        </w:rPr>
        <w:t>Mathôt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R.A.A.,</w:t>
      </w:r>
      <w:r w:rsidRPr="006F6AD6">
        <w:rPr>
          <w:rFonts w:ascii="Times New Roman" w:hAnsi="Times New Roman"/>
          <w:sz w:val="24"/>
          <w:szCs w:val="24"/>
          <w:lang w:val="en-US"/>
        </w:rPr>
        <w:t xml:space="preserve"> van </w:t>
      </w:r>
      <w:proofErr w:type="spellStart"/>
      <w:r w:rsidRPr="006F6AD6">
        <w:rPr>
          <w:rFonts w:ascii="Times New Roman" w:hAnsi="Times New Roman"/>
          <w:sz w:val="24"/>
          <w:szCs w:val="24"/>
          <w:lang w:val="en-US"/>
        </w:rPr>
        <w:t>Hest</w:t>
      </w:r>
      <w:proofErr w:type="spellEnd"/>
      <w:r w:rsidRPr="006F6A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R.M., </w:t>
      </w:r>
      <w:r w:rsidRPr="006F6AD6">
        <w:rPr>
          <w:rFonts w:ascii="Times New Roman" w:hAnsi="Times New Roman"/>
          <w:sz w:val="24"/>
          <w:szCs w:val="24"/>
          <w:lang w:val="en-US"/>
        </w:rPr>
        <w:t>Clinical Pharmacokinetics of Gentamicin in Various Patient Populations and Consequences for Optimal Dosing for Gram-Negative Infections: An Updated Review.</w:t>
      </w:r>
      <w:r>
        <w:rPr>
          <w:rFonts w:ascii="Times New Roman" w:hAnsi="Times New Roman"/>
          <w:sz w:val="24"/>
          <w:szCs w:val="24"/>
          <w:lang w:val="en-US"/>
        </w:rPr>
        <w:t xml:space="preserve"> Clin.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Pharmacokinet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2022; 61: 1075-1094.</w:t>
      </w:r>
    </w:p>
    <w:sectPr w:rsidR="006F6AD6" w:rsidRPr="006F6AD6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391B" w14:textId="77777777" w:rsidR="004F465F" w:rsidRDefault="004F465F" w:rsidP="00E74030">
      <w:pPr>
        <w:spacing w:after="0" w:line="240" w:lineRule="auto"/>
      </w:pPr>
      <w:r>
        <w:separator/>
      </w:r>
    </w:p>
  </w:endnote>
  <w:endnote w:type="continuationSeparator" w:id="0">
    <w:p w14:paraId="48E10769" w14:textId="77777777" w:rsidR="004F465F" w:rsidRDefault="004F465F" w:rsidP="00E7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535627"/>
      <w:docPartObj>
        <w:docPartGallery w:val="Page Numbers (Bottom of Page)"/>
        <w:docPartUnique/>
      </w:docPartObj>
    </w:sdtPr>
    <w:sdtEndPr/>
    <w:sdtContent>
      <w:p w14:paraId="46E6EEAD" w14:textId="776DFDAA" w:rsidR="00E74030" w:rsidRDefault="00E74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0BDA0" w14:textId="77777777" w:rsidR="00E74030" w:rsidRDefault="00E74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33E5" w14:textId="77777777" w:rsidR="004F465F" w:rsidRDefault="004F465F" w:rsidP="00E74030">
      <w:pPr>
        <w:spacing w:after="0" w:line="240" w:lineRule="auto"/>
      </w:pPr>
      <w:r>
        <w:separator/>
      </w:r>
    </w:p>
  </w:footnote>
  <w:footnote w:type="continuationSeparator" w:id="0">
    <w:p w14:paraId="1ECE09ED" w14:textId="77777777" w:rsidR="004F465F" w:rsidRDefault="004F465F" w:rsidP="00E7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9CA"/>
    <w:multiLevelType w:val="hybridMultilevel"/>
    <w:tmpl w:val="EBDAC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B1D"/>
    <w:multiLevelType w:val="hybridMultilevel"/>
    <w:tmpl w:val="CCCE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0591"/>
    <w:multiLevelType w:val="hybridMultilevel"/>
    <w:tmpl w:val="906CF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0B0"/>
    <w:multiLevelType w:val="hybridMultilevel"/>
    <w:tmpl w:val="09905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18"/>
    <w:rsid w:val="00014BB1"/>
    <w:rsid w:val="00032832"/>
    <w:rsid w:val="000E01AB"/>
    <w:rsid w:val="001909FC"/>
    <w:rsid w:val="001E6DE7"/>
    <w:rsid w:val="0020414B"/>
    <w:rsid w:val="002D3B64"/>
    <w:rsid w:val="003D5B56"/>
    <w:rsid w:val="004B0E6D"/>
    <w:rsid w:val="004D0EA0"/>
    <w:rsid w:val="004F465F"/>
    <w:rsid w:val="00517947"/>
    <w:rsid w:val="00575EEA"/>
    <w:rsid w:val="00620554"/>
    <w:rsid w:val="006B013A"/>
    <w:rsid w:val="006F6AD6"/>
    <w:rsid w:val="007021E9"/>
    <w:rsid w:val="00767BE3"/>
    <w:rsid w:val="007F1127"/>
    <w:rsid w:val="007F1932"/>
    <w:rsid w:val="00834AA6"/>
    <w:rsid w:val="008D05C5"/>
    <w:rsid w:val="0096563C"/>
    <w:rsid w:val="00987028"/>
    <w:rsid w:val="009F459C"/>
    <w:rsid w:val="00A77DCB"/>
    <w:rsid w:val="00AB751C"/>
    <w:rsid w:val="00AD1E75"/>
    <w:rsid w:val="00B60794"/>
    <w:rsid w:val="00B65698"/>
    <w:rsid w:val="00B76783"/>
    <w:rsid w:val="00B877C5"/>
    <w:rsid w:val="00C230BD"/>
    <w:rsid w:val="00C36CA2"/>
    <w:rsid w:val="00C41138"/>
    <w:rsid w:val="00D05118"/>
    <w:rsid w:val="00D75C4A"/>
    <w:rsid w:val="00DA6179"/>
    <w:rsid w:val="00DB34A6"/>
    <w:rsid w:val="00E74030"/>
    <w:rsid w:val="00F13FCC"/>
    <w:rsid w:val="00F71E96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3FAD5B9"/>
  <w15:chartTrackingRefBased/>
  <w15:docId w15:val="{C4AF6DE8-35E5-4CD2-A231-6B7D06F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FC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A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030"/>
  </w:style>
  <w:style w:type="paragraph" w:styleId="Stopka">
    <w:name w:val="footer"/>
    <w:basedOn w:val="Normalny"/>
    <w:link w:val="StopkaZnak"/>
    <w:uiPriority w:val="99"/>
    <w:unhideWhenUsed/>
    <w:rsid w:val="00E7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030"/>
  </w:style>
  <w:style w:type="character" w:customStyle="1" w:styleId="apple-converted-space">
    <w:name w:val="apple-converted-space"/>
    <w:basedOn w:val="Domylnaczcionkaakapitu"/>
    <w:rsid w:val="00AB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chart" Target="charts/chart1.xml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3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hart" Target="charts/chart2.xml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ocuments\Micha&#322;\Dydaktyka\PK%20skrypt\Kopia%20Dose%20Optimization%20-%20Antiarrhythmics.xlsm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ocuments\Micha&#322;\Dydaktyka\PK%20skrypt\Kopia%20Dose%20Optimization%20-%20Antiarrhythmics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30426843866127"/>
          <c:y val="1.9991874480063457E-2"/>
          <c:w val="0.82684465782975658"/>
          <c:h val="0.8442768123561029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Result!$B$12</c:f>
              <c:strCache>
                <c:ptCount val="1"/>
                <c:pt idx="0">
                  <c:v>Case A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ChartDataHide!$B$4:$B$196</c:f>
              <c:numCache>
                <c:formatCode>General</c:formatCode>
                <c:ptCount val="19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</c:numCache>
            </c:numRef>
          </c:xVal>
          <c:yVal>
            <c:numRef>
              <c:f>ChartDataHide!$C$4:$C$196</c:f>
              <c:numCache>
                <c:formatCode>General</c:formatCode>
                <c:ptCount val="193"/>
                <c:pt idx="0">
                  <c:v>9.75</c:v>
                </c:pt>
                <c:pt idx="1">
                  <c:v>9.3443070388292337</c:v>
                </c:pt>
                <c:pt idx="2">
                  <c:v>8.9554947729142089</c:v>
                </c:pt>
                <c:pt idx="3">
                  <c:v>8.5828608043836567</c:v>
                </c:pt>
                <c:pt idx="4">
                  <c:v>8.2257319618147413</c:v>
                </c:pt>
                <c:pt idx="5">
                  <c:v>7.8834630841341617</c:v>
                </c:pt>
                <c:pt idx="6">
                  <c:v>7.5554358551205398</c:v>
                </c:pt>
                <c:pt idx="7">
                  <c:v>7.2410576864026277</c:v>
                </c:pt>
                <c:pt idx="8">
                  <c:v>6.9397606469354454</c:v>
                </c:pt>
                <c:pt idx="9">
                  <c:v>6.651000437020409</c:v>
                </c:pt>
                <c:pt idx="10">
                  <c:v>6.3742554050160107</c:v>
                </c:pt>
                <c:pt idx="11">
                  <c:v>6.1090256049627065</c:v>
                </c:pt>
                <c:pt idx="12">
                  <c:v>5.8548318934195924</c:v>
                </c:pt>
                <c:pt idx="13">
                  <c:v>5.6112150638812901</c:v>
                </c:pt>
                <c:pt idx="14">
                  <c:v>5.3777350172113403</c:v>
                </c:pt>
                <c:pt idx="15">
                  <c:v>5.1539699665934746</c:v>
                </c:pt>
                <c:pt idx="16">
                  <c:v>14.689515675564499</c:v>
                </c:pt>
                <c:pt idx="17">
                  <c:v>14.078291766581509</c:v>
                </c:pt>
                <c:pt idx="18">
                  <c:v>13.492500599913765</c:v>
                </c:pt>
                <c:pt idx="19">
                  <c:v>12.93108393099301</c:v>
                </c:pt>
                <c:pt idx="20">
                  <c:v>12.393027548314826</c:v>
                </c:pt>
                <c:pt idx="21">
                  <c:v>11.877359441243367</c:v>
                </c:pt>
                <c:pt idx="22">
                  <c:v>11.383148044052843</c:v>
                </c:pt>
                <c:pt idx="23">
                  <c:v>10.909500553033663</c:v>
                </c:pt>
                <c:pt idx="24">
                  <c:v>10.455561313622958</c:v>
                </c:pt>
                <c:pt idx="25">
                  <c:v>10.020510274645911</c:v>
                </c:pt>
                <c:pt idx="26">
                  <c:v>9.6035615068753266</c:v>
                </c:pt>
                <c:pt idx="27">
                  <c:v>9.2039617832332894</c:v>
                </c:pt>
                <c:pt idx="28">
                  <c:v>8.8209892180699558</c:v>
                </c:pt>
                <c:pt idx="29">
                  <c:v>8.4539519630613196</c:v>
                </c:pt>
                <c:pt idx="30">
                  <c:v>8.102186957370062</c:v>
                </c:pt>
                <c:pt idx="31">
                  <c:v>7.7650587298116394</c:v>
                </c:pt>
                <c:pt idx="32">
                  <c:v>17.191958250861671</c:v>
                </c:pt>
                <c:pt idx="33">
                  <c:v>16.476608871260002</c:v>
                </c:pt>
                <c:pt idx="34">
                  <c:v>15.791024846333434</c:v>
                </c:pt>
                <c:pt idx="35">
                  <c:v>15.133967653530341</c:v>
                </c:pt>
                <c:pt idx="36">
                  <c:v>14.504250304645897</c:v>
                </c:pt>
                <c:pt idx="37">
                  <c:v>13.900735201501917</c:v>
                </c:pt>
                <c:pt idx="38">
                  <c:v>13.322332080850837</c:v>
                </c:pt>
                <c:pt idx="39">
                  <c:v>12.76799604479128</c:v>
                </c:pt>
                <c:pt idx="40">
                  <c:v>12.236725673137123</c:v>
                </c:pt>
                <c:pt idx="41">
                  <c:v>11.727561214330009</c:v>
                </c:pt>
                <c:pt idx="42">
                  <c:v>11.239582851627139</c:v>
                </c:pt>
                <c:pt idx="43">
                  <c:v>10.771909041432185</c:v>
                </c:pt>
                <c:pt idx="44">
                  <c:v>10.323694920767489</c:v>
                </c:pt>
                <c:pt idx="45">
                  <c:v>9.8941307810105883</c:v>
                </c:pt>
                <c:pt idx="46">
                  <c:v>9.4824406051378709</c:v>
                </c:pt>
                <c:pt idx="47">
                  <c:v>9.0878806658328148</c:v>
                </c:pt>
                <c:pt idx="48">
                  <c:v>18.459738181926323</c:v>
                </c:pt>
                <c:pt idx="49">
                  <c:v>17.691637069571168</c:v>
                </c:pt>
                <c:pt idx="50">
                  <c:v>16.955496286933951</c:v>
                </c:pt>
                <c:pt idx="51">
                  <c:v>16.249985979573321</c:v>
                </c:pt>
                <c:pt idx="52">
                  <c:v>15.573831627672133</c:v>
                </c:pt>
                <c:pt idx="53">
                  <c:v>14.925811743589541</c:v>
                </c:pt>
                <c:pt idx="54">
                  <c:v>14.304755665216797</c:v>
                </c:pt>
                <c:pt idx="55">
                  <c:v>13.709541441150529</c:v>
                </c:pt>
                <c:pt idx="56">
                  <c:v>13.13909380386297</c:v>
                </c:pt>
                <c:pt idx="57">
                  <c:v>12.59238222720762</c:v>
                </c:pt>
                <c:pt idx="58">
                  <c:v>12.068419064751209</c:v>
                </c:pt>
                <c:pt idx="59">
                  <c:v>11.566257765568782</c:v>
                </c:pt>
                <c:pt idx="60">
                  <c:v>11.084991164278732</c:v>
                </c:pt>
                <c:pt idx="61">
                  <c:v>10.623749842228676</c:v>
                </c:pt>
                <c:pt idx="62">
                  <c:v>10.181700556871631</c:v>
                </c:pt>
                <c:pt idx="63">
                  <c:v>9.7580447364950871</c:v>
                </c:pt>
                <c:pt idx="64">
                  <c:v>19.102017037583749</c:v>
                </c:pt>
                <c:pt idx="65">
                  <c:v>18.307191001038955</c:v>
                </c:pt>
                <c:pt idx="66">
                  <c:v>17.54543730586661</c:v>
                </c:pt>
                <c:pt idx="67">
                  <c:v>16.815379827338091</c:v>
                </c:pt>
                <c:pt idx="68">
                  <c:v>16.115699700634092</c:v>
                </c:pt>
                <c:pt idx="69">
                  <c:v>15.445132938286493</c:v>
                </c:pt>
                <c:pt idx="70">
                  <c:v>14.802468146757304</c:v>
                </c:pt>
                <c:pt idx="71">
                  <c:v>14.186544338029721</c:v>
                </c:pt>
                <c:pt idx="72">
                  <c:v>13.596248832257858</c:v>
                </c:pt>
                <c:pt idx="73">
                  <c:v>13.030515247686239</c:v>
                </c:pt>
                <c:pt idx="74">
                  <c:v>12.488321574207811</c:v>
                </c:pt>
                <c:pt idx="75">
                  <c:v>11.968688327080308</c:v>
                </c:pt>
                <c:pt idx="76">
                  <c:v>11.47067677746562</c:v>
                </c:pt>
                <c:pt idx="77">
                  <c:v>10.993387256595591</c:v>
                </c:pt>
                <c:pt idx="78">
                  <c:v>10.535957530500694</c:v>
                </c:pt>
                <c:pt idx="79">
                  <c:v>10.09756124236549</c:v>
                </c:pt>
                <c:pt idx="80">
                  <c:v>19.427406419696933</c:v>
                </c:pt>
                <c:pt idx="81">
                  <c:v>18.619041082437978</c:v>
                </c:pt>
                <c:pt idx="82">
                  <c:v>17.844311450551366</c:v>
                </c:pt>
                <c:pt idx="83">
                  <c:v>17.101817957994687</c:v>
                </c:pt>
                <c:pt idx="84">
                  <c:v>16.390219274017017</c:v>
                </c:pt>
                <c:pt idx="85">
                  <c:v>15.708229880015567</c:v>
                </c:pt>
                <c:pt idx="86">
                  <c:v>15.054617747218169</c:v>
                </c:pt>
                <c:pt idx="87">
                  <c:v>14.428202110996329</c:v>
                </c:pt>
                <c:pt idx="88">
                  <c:v>13.827851337788081</c:v>
                </c:pt>
                <c:pt idx="89">
                  <c:v>13.252480880777167</c:v>
                </c:pt>
                <c:pt idx="90">
                  <c:v>12.701051320635479</c:v>
                </c:pt>
                <c:pt idx="91">
                  <c:v>12.172566487789274</c:v>
                </c:pt>
                <c:pt idx="92">
                  <c:v>11.666071662817039</c:v>
                </c:pt>
                <c:pt idx="93">
                  <c:v>11.18065185172795</c:v>
                </c:pt>
                <c:pt idx="94">
                  <c:v>10.715430133005187</c:v>
                </c:pt>
                <c:pt idx="95">
                  <c:v>10.269566073428026</c:v>
                </c:pt>
                <c:pt idx="96">
                  <c:v>19.592254209810807</c:v>
                </c:pt>
                <c:pt idx="97">
                  <c:v>18.777029632745315</c:v>
                </c:pt>
                <c:pt idx="98">
                  <c:v>17.995726170827396</c:v>
                </c:pt>
                <c:pt idx="99">
                  <c:v>17.246932382246754</c:v>
                </c:pt>
                <c:pt idx="100">
                  <c:v>16.529295554629762</c:v>
                </c:pt>
                <c:pt idx="101">
                  <c:v>15.841519261334936</c:v>
                </c:pt>
                <c:pt idx="102">
                  <c:v>15.182361019429838</c:v>
                </c:pt>
                <c:pt idx="103">
                  <c:v>14.55063004511844</c:v>
                </c:pt>
                <c:pt idx="104">
                  <c:v>13.945185102564139</c:v>
                </c:pt>
                <c:pt idx="105">
                  <c:v>13.364932442222218</c:v>
                </c:pt>
                <c:pt idx="106">
                  <c:v>12.808823824957358</c:v>
                </c:pt>
                <c:pt idx="107">
                  <c:v>12.275854628376678</c:v>
                </c:pt>
                <c:pt idx="108">
                  <c:v>11.765062031957394</c:v>
                </c:pt>
                <c:pt idx="109">
                  <c:v>11.275523277690464</c:v>
                </c:pt>
                <c:pt idx="110">
                  <c:v>10.80635400309804</c:v>
                </c:pt>
                <c:pt idx="111">
                  <c:v>10.356706643613279</c:v>
                </c:pt>
                <c:pt idx="112">
                  <c:v>19.675768901436417</c:v>
                </c:pt>
                <c:pt idx="113">
                  <c:v>18.857069316930218</c:v>
                </c:pt>
                <c:pt idx="114">
                  <c:v>18.072435441013514</c:v>
                </c:pt>
                <c:pt idx="115">
                  <c:v>17.320449815410203</c:v>
                </c:pt>
                <c:pt idx="116">
                  <c:v>16.599753961623183</c:v>
                </c:pt>
                <c:pt idx="117">
                  <c:v>15.909045926813226</c:v>
                </c:pt>
                <c:pt idx="118">
                  <c:v>15.247077931792651</c:v>
                </c:pt>
                <c:pt idx="119">
                  <c:v>14.612654116884915</c:v>
                </c:pt>
                <c:pt idx="120">
                  <c:v>14.004628381577916</c:v>
                </c:pt>
                <c:pt idx="121">
                  <c:v>13.421902314068326</c:v>
                </c:pt>
                <c:pt idx="122">
                  <c:v>12.863423206956616</c:v>
                </c:pt>
                <c:pt idx="123">
                  <c:v>12.328182155508102</c:v>
                </c:pt>
                <c:pt idx="124">
                  <c:v>11.81521223504444</c:v>
                </c:pt>
                <c:pt idx="125">
                  <c:v>11.323586754173029</c:v>
                </c:pt>
                <c:pt idx="126">
                  <c:v>10.852417580698718</c:v>
                </c:pt>
                <c:pt idx="127">
                  <c:v>10.400853537193555</c:v>
                </c:pt>
                <c:pt idx="128">
                  <c:v>19.718078863326117</c:v>
                </c:pt>
                <c:pt idx="129">
                  <c:v>18.897618781001864</c:v>
                </c:pt>
                <c:pt idx="130">
                  <c:v>18.111297660761764</c:v>
                </c:pt>
                <c:pt idx="131">
                  <c:v>17.357694996285904</c:v>
                </c:pt>
                <c:pt idx="132">
                  <c:v>16.635449387861058</c:v>
                </c:pt>
                <c:pt idx="133">
                  <c:v>15.943256082982312</c:v>
                </c:pt>
                <c:pt idx="134">
                  <c:v>15.279864619289087</c:v>
                </c:pt>
                <c:pt idx="135">
                  <c:v>14.644076565577514</c:v>
                </c:pt>
                <c:pt idx="136">
                  <c:v>14.034743356808223</c:v>
                </c:pt>
                <c:pt idx="137">
                  <c:v>13.450764219198451</c:v>
                </c:pt>
                <c:pt idx="138">
                  <c:v>12.891084181650099</c:v>
                </c:pt>
                <c:pt idx="139">
                  <c:v>12.354692169921353</c:v>
                </c:pt>
                <c:pt idx="140">
                  <c:v>11.840619180098923</c:v>
                </c:pt>
                <c:pt idx="141">
                  <c:v>11.34793652807126</c:v>
                </c:pt>
                <c:pt idx="142">
                  <c:v>10.875754171840374</c:v>
                </c:pt>
                <c:pt idx="143">
                  <c:v>10.423219103641477</c:v>
                </c:pt>
                <c:pt idx="144">
                  <c:v>19.739513808965782</c:v>
                </c:pt>
                <c:pt idx="145">
                  <c:v>18.918161828531879</c:v>
                </c:pt>
                <c:pt idx="146">
                  <c:v>18.130985921647273</c:v>
                </c:pt>
                <c:pt idx="147">
                  <c:v>17.376564037801266</c:v>
                </c:pt>
                <c:pt idx="148">
                  <c:v>16.6535332973429</c:v>
                </c:pt>
                <c:pt idx="149">
                  <c:v>15.960587529409052</c:v>
                </c:pt>
                <c:pt idx="150">
                  <c:v>15.296474912298164</c:v>
                </c:pt>
                <c:pt idx="151">
                  <c:v>14.659995712026921</c:v>
                </c:pt>
                <c:pt idx="152">
                  <c:v>14.050000114984567</c:v>
                </c:pt>
                <c:pt idx="153">
                  <c:v>13.465386150769417</c:v>
                </c:pt>
                <c:pt idx="154">
                  <c:v>12.905097701455212</c:v>
                </c:pt>
                <c:pt idx="155">
                  <c:v>12.368122593690963</c:v>
                </c:pt>
                <c:pt idx="156">
                  <c:v>11.853490770187623</c:v>
                </c:pt>
                <c:pt idx="157">
                  <c:v>11.360272537288363</c:v>
                </c:pt>
                <c:pt idx="158">
                  <c:v>10.887576885456625</c:v>
                </c:pt>
                <c:pt idx="159">
                  <c:v>10.434549879647877</c:v>
                </c:pt>
                <c:pt idx="160">
                  <c:v>19.750373116657268</c:v>
                </c:pt>
                <c:pt idx="161">
                  <c:v>18.928569285485558</c:v>
                </c:pt>
                <c:pt idx="162">
                  <c:v>18.140960329161999</c:v>
                </c:pt>
                <c:pt idx="163">
                  <c:v>17.386123414862602</c:v>
                </c:pt>
                <c:pt idx="164">
                  <c:v>16.662694913174803</c:v>
                </c:pt>
                <c:pt idx="165">
                  <c:v>15.969367934671114</c:v>
                </c:pt>
                <c:pt idx="166">
                  <c:v>15.304889968984732</c:v>
                </c:pt>
                <c:pt idx="167">
                  <c:v>14.668060622122148</c:v>
                </c:pt>
                <c:pt idx="168">
                  <c:v>14.057729447925116</c:v>
                </c:pt>
                <c:pt idx="169">
                  <c:v>13.472793869764477</c:v>
                </c:pt>
                <c:pt idx="170">
                  <c:v>12.912197188711335</c:v>
                </c:pt>
                <c:pt idx="171">
                  <c:v>12.374926674587318</c:v>
                </c:pt>
                <c:pt idx="172">
                  <c:v>11.860011736445324</c:v>
                </c:pt>
                <c:pt idx="173">
                  <c:v>11.366522169175727</c:v>
                </c:pt>
                <c:pt idx="174">
                  <c:v>10.893566473070489</c:v>
                </c:pt>
                <c:pt idx="175">
                  <c:v>10.440290243309409</c:v>
                </c:pt>
                <c:pt idx="176">
                  <c:v>19.755874626459104</c:v>
                </c:pt>
                <c:pt idx="177">
                  <c:v>18.933841880025607</c:v>
                </c:pt>
                <c:pt idx="178">
                  <c:v>18.14601353349774</c:v>
                </c:pt>
                <c:pt idx="179">
                  <c:v>17.390966357718302</c:v>
                </c:pt>
                <c:pt idx="180">
                  <c:v>16.667336343432769</c:v>
                </c:pt>
                <c:pt idx="181">
                  <c:v>15.973816237176727</c:v>
                </c:pt>
                <c:pt idx="182">
                  <c:v>15.309153179693867</c:v>
                </c:pt>
                <c:pt idx="183">
                  <c:v>14.67214644261829</c:v>
                </c:pt>
                <c:pt idx="184">
                  <c:v>14.061645259332447</c:v>
                </c:pt>
                <c:pt idx="185">
                  <c:v>13.476546746082041</c:v>
                </c:pt>
                <c:pt idx="186">
                  <c:v>12.91579390959237</c:v>
                </c:pt>
                <c:pt idx="187">
                  <c:v>12.378373737586841</c:v>
                </c:pt>
                <c:pt idx="188">
                  <c:v>11.863315368758116</c:v>
                </c:pt>
                <c:pt idx="189">
                  <c:v>11.369688338885894</c:v>
                </c:pt>
                <c:pt idx="190">
                  <c:v>10.896600899932936</c:v>
                </c:pt>
                <c:pt idx="191">
                  <c:v>10.443198409082697</c:v>
                </c:pt>
                <c:pt idx="192">
                  <c:v>19.758661784808378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851-AD46-99EA-4FEC32A5DF1E}"/>
            </c:ext>
          </c:extLst>
        </c:ser>
        <c:ser>
          <c:idx val="3"/>
          <c:order val="1"/>
          <c:tx>
            <c:strRef>
              <c:f>ChartDataHide!$F$1</c:f>
              <c:strCache>
                <c:ptCount val="1"/>
                <c:pt idx="0">
                  <c:v>Cmin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ChartDataHide!$B$4:$B$196</c:f>
              <c:numCache>
                <c:formatCode>General</c:formatCode>
                <c:ptCount val="19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</c:numCache>
            </c:numRef>
          </c:xVal>
          <c:yVal>
            <c:numRef>
              <c:f>ChartDataHide!$F$4:$F$196</c:f>
              <c:numCache>
                <c:formatCode>General</c:formatCode>
                <c:ptCount val="19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10</c:v>
                </c:pt>
                <c:pt idx="52">
                  <c:v>10</c:v>
                </c:pt>
                <c:pt idx="53">
                  <c:v>10</c:v>
                </c:pt>
                <c:pt idx="54">
                  <c:v>10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10</c:v>
                </c:pt>
                <c:pt idx="62">
                  <c:v>10</c:v>
                </c:pt>
                <c:pt idx="63">
                  <c:v>10</c:v>
                </c:pt>
                <c:pt idx="64">
                  <c:v>10</c:v>
                </c:pt>
                <c:pt idx="65">
                  <c:v>10</c:v>
                </c:pt>
                <c:pt idx="66">
                  <c:v>10</c:v>
                </c:pt>
                <c:pt idx="67">
                  <c:v>10</c:v>
                </c:pt>
                <c:pt idx="68">
                  <c:v>10</c:v>
                </c:pt>
                <c:pt idx="69">
                  <c:v>10</c:v>
                </c:pt>
                <c:pt idx="70">
                  <c:v>10</c:v>
                </c:pt>
                <c:pt idx="71">
                  <c:v>10</c:v>
                </c:pt>
                <c:pt idx="72">
                  <c:v>10</c:v>
                </c:pt>
                <c:pt idx="73">
                  <c:v>10</c:v>
                </c:pt>
                <c:pt idx="74">
                  <c:v>10</c:v>
                </c:pt>
                <c:pt idx="75">
                  <c:v>10</c:v>
                </c:pt>
                <c:pt idx="76">
                  <c:v>10</c:v>
                </c:pt>
                <c:pt idx="77">
                  <c:v>10</c:v>
                </c:pt>
                <c:pt idx="78">
                  <c:v>10</c:v>
                </c:pt>
                <c:pt idx="79">
                  <c:v>10</c:v>
                </c:pt>
                <c:pt idx="80">
                  <c:v>10</c:v>
                </c:pt>
                <c:pt idx="81">
                  <c:v>10</c:v>
                </c:pt>
                <c:pt idx="82">
                  <c:v>10</c:v>
                </c:pt>
                <c:pt idx="83">
                  <c:v>10</c:v>
                </c:pt>
                <c:pt idx="84">
                  <c:v>10</c:v>
                </c:pt>
                <c:pt idx="85">
                  <c:v>10</c:v>
                </c:pt>
                <c:pt idx="86">
                  <c:v>10</c:v>
                </c:pt>
                <c:pt idx="87">
                  <c:v>10</c:v>
                </c:pt>
                <c:pt idx="88">
                  <c:v>10</c:v>
                </c:pt>
                <c:pt idx="89">
                  <c:v>10</c:v>
                </c:pt>
                <c:pt idx="90">
                  <c:v>10</c:v>
                </c:pt>
                <c:pt idx="91">
                  <c:v>10</c:v>
                </c:pt>
                <c:pt idx="92">
                  <c:v>10</c:v>
                </c:pt>
                <c:pt idx="93">
                  <c:v>10</c:v>
                </c:pt>
                <c:pt idx="94">
                  <c:v>10</c:v>
                </c:pt>
                <c:pt idx="95">
                  <c:v>10</c:v>
                </c:pt>
                <c:pt idx="96">
                  <c:v>10</c:v>
                </c:pt>
                <c:pt idx="97">
                  <c:v>10</c:v>
                </c:pt>
                <c:pt idx="98">
                  <c:v>10</c:v>
                </c:pt>
                <c:pt idx="99">
                  <c:v>10</c:v>
                </c:pt>
                <c:pt idx="100">
                  <c:v>10</c:v>
                </c:pt>
                <c:pt idx="101">
                  <c:v>10</c:v>
                </c:pt>
                <c:pt idx="102">
                  <c:v>10</c:v>
                </c:pt>
                <c:pt idx="103">
                  <c:v>10</c:v>
                </c:pt>
                <c:pt idx="104">
                  <c:v>10</c:v>
                </c:pt>
                <c:pt idx="105">
                  <c:v>10</c:v>
                </c:pt>
                <c:pt idx="106">
                  <c:v>10</c:v>
                </c:pt>
                <c:pt idx="107">
                  <c:v>10</c:v>
                </c:pt>
                <c:pt idx="108">
                  <c:v>10</c:v>
                </c:pt>
                <c:pt idx="109">
                  <c:v>10</c:v>
                </c:pt>
                <c:pt idx="110">
                  <c:v>10</c:v>
                </c:pt>
                <c:pt idx="111">
                  <c:v>10</c:v>
                </c:pt>
                <c:pt idx="112">
                  <c:v>10</c:v>
                </c:pt>
                <c:pt idx="113">
                  <c:v>10</c:v>
                </c:pt>
                <c:pt idx="114">
                  <c:v>10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10</c:v>
                </c:pt>
                <c:pt idx="120">
                  <c:v>10</c:v>
                </c:pt>
                <c:pt idx="121">
                  <c:v>10</c:v>
                </c:pt>
                <c:pt idx="122">
                  <c:v>10</c:v>
                </c:pt>
                <c:pt idx="123">
                  <c:v>10</c:v>
                </c:pt>
                <c:pt idx="124">
                  <c:v>10</c:v>
                </c:pt>
                <c:pt idx="125">
                  <c:v>10</c:v>
                </c:pt>
                <c:pt idx="126">
                  <c:v>10</c:v>
                </c:pt>
                <c:pt idx="127">
                  <c:v>10</c:v>
                </c:pt>
                <c:pt idx="128">
                  <c:v>10</c:v>
                </c:pt>
                <c:pt idx="129">
                  <c:v>10</c:v>
                </c:pt>
                <c:pt idx="130">
                  <c:v>10</c:v>
                </c:pt>
                <c:pt idx="131">
                  <c:v>10</c:v>
                </c:pt>
                <c:pt idx="132">
                  <c:v>10</c:v>
                </c:pt>
                <c:pt idx="133">
                  <c:v>10</c:v>
                </c:pt>
                <c:pt idx="134">
                  <c:v>10</c:v>
                </c:pt>
                <c:pt idx="135">
                  <c:v>10</c:v>
                </c:pt>
                <c:pt idx="136">
                  <c:v>10</c:v>
                </c:pt>
                <c:pt idx="137">
                  <c:v>10</c:v>
                </c:pt>
                <c:pt idx="138">
                  <c:v>10</c:v>
                </c:pt>
                <c:pt idx="139">
                  <c:v>10</c:v>
                </c:pt>
                <c:pt idx="140">
                  <c:v>10</c:v>
                </c:pt>
                <c:pt idx="141">
                  <c:v>10</c:v>
                </c:pt>
                <c:pt idx="142">
                  <c:v>10</c:v>
                </c:pt>
                <c:pt idx="143">
                  <c:v>10</c:v>
                </c:pt>
                <c:pt idx="144">
                  <c:v>10</c:v>
                </c:pt>
                <c:pt idx="145">
                  <c:v>10</c:v>
                </c:pt>
                <c:pt idx="146">
                  <c:v>10</c:v>
                </c:pt>
                <c:pt idx="147">
                  <c:v>10</c:v>
                </c:pt>
                <c:pt idx="148">
                  <c:v>10</c:v>
                </c:pt>
                <c:pt idx="149">
                  <c:v>10</c:v>
                </c:pt>
                <c:pt idx="150">
                  <c:v>10</c:v>
                </c:pt>
                <c:pt idx="151">
                  <c:v>10</c:v>
                </c:pt>
                <c:pt idx="152">
                  <c:v>10</c:v>
                </c:pt>
                <c:pt idx="153">
                  <c:v>10</c:v>
                </c:pt>
                <c:pt idx="154">
                  <c:v>10</c:v>
                </c:pt>
                <c:pt idx="155">
                  <c:v>10</c:v>
                </c:pt>
                <c:pt idx="156">
                  <c:v>10</c:v>
                </c:pt>
                <c:pt idx="157">
                  <c:v>10</c:v>
                </c:pt>
                <c:pt idx="158">
                  <c:v>10</c:v>
                </c:pt>
                <c:pt idx="159">
                  <c:v>10</c:v>
                </c:pt>
                <c:pt idx="160">
                  <c:v>10</c:v>
                </c:pt>
                <c:pt idx="161">
                  <c:v>10</c:v>
                </c:pt>
                <c:pt idx="162">
                  <c:v>10</c:v>
                </c:pt>
                <c:pt idx="163">
                  <c:v>10</c:v>
                </c:pt>
                <c:pt idx="164">
                  <c:v>10</c:v>
                </c:pt>
                <c:pt idx="165">
                  <c:v>10</c:v>
                </c:pt>
                <c:pt idx="166">
                  <c:v>10</c:v>
                </c:pt>
                <c:pt idx="167">
                  <c:v>10</c:v>
                </c:pt>
                <c:pt idx="168">
                  <c:v>10</c:v>
                </c:pt>
                <c:pt idx="169">
                  <c:v>10</c:v>
                </c:pt>
                <c:pt idx="170">
                  <c:v>10</c:v>
                </c:pt>
                <c:pt idx="171">
                  <c:v>10</c:v>
                </c:pt>
                <c:pt idx="172">
                  <c:v>10</c:v>
                </c:pt>
                <c:pt idx="173">
                  <c:v>10</c:v>
                </c:pt>
                <c:pt idx="174">
                  <c:v>10</c:v>
                </c:pt>
                <c:pt idx="175">
                  <c:v>10</c:v>
                </c:pt>
                <c:pt idx="176">
                  <c:v>10</c:v>
                </c:pt>
                <c:pt idx="177">
                  <c:v>10</c:v>
                </c:pt>
                <c:pt idx="178">
                  <c:v>10</c:v>
                </c:pt>
                <c:pt idx="179">
                  <c:v>10</c:v>
                </c:pt>
                <c:pt idx="180">
                  <c:v>10</c:v>
                </c:pt>
                <c:pt idx="181">
                  <c:v>10</c:v>
                </c:pt>
                <c:pt idx="182">
                  <c:v>10</c:v>
                </c:pt>
                <c:pt idx="183">
                  <c:v>10</c:v>
                </c:pt>
                <c:pt idx="184">
                  <c:v>10</c:v>
                </c:pt>
                <c:pt idx="185">
                  <c:v>10</c:v>
                </c:pt>
                <c:pt idx="186">
                  <c:v>10</c:v>
                </c:pt>
                <c:pt idx="187">
                  <c:v>10</c:v>
                </c:pt>
                <c:pt idx="188">
                  <c:v>10</c:v>
                </c:pt>
                <c:pt idx="189">
                  <c:v>10</c:v>
                </c:pt>
                <c:pt idx="190">
                  <c:v>10</c:v>
                </c:pt>
                <c:pt idx="191">
                  <c:v>10</c:v>
                </c:pt>
                <c:pt idx="192">
                  <c:v>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851-AD46-99EA-4FEC32A5DF1E}"/>
            </c:ext>
          </c:extLst>
        </c:ser>
        <c:ser>
          <c:idx val="4"/>
          <c:order val="2"/>
          <c:tx>
            <c:strRef>
              <c:f>ChartDataHide!$G$1</c:f>
              <c:strCache>
                <c:ptCount val="1"/>
                <c:pt idx="0">
                  <c:v>Cmax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ChartDataHide!$B$4:$B$196</c:f>
              <c:numCache>
                <c:formatCode>General</c:formatCode>
                <c:ptCount val="19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</c:numCache>
            </c:numRef>
          </c:xVal>
          <c:yVal>
            <c:numRef>
              <c:f>ChartDataHide!$G$4:$G$196</c:f>
              <c:numCache>
                <c:formatCode>General</c:formatCode>
                <c:ptCount val="19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20</c:v>
                </c:pt>
                <c:pt idx="27">
                  <c:v>20</c:v>
                </c:pt>
                <c:pt idx="28">
                  <c:v>20</c:v>
                </c:pt>
                <c:pt idx="29">
                  <c:v>20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20</c:v>
                </c:pt>
                <c:pt idx="82">
                  <c:v>20</c:v>
                </c:pt>
                <c:pt idx="83">
                  <c:v>20</c:v>
                </c:pt>
                <c:pt idx="84">
                  <c:v>20</c:v>
                </c:pt>
                <c:pt idx="85">
                  <c:v>20</c:v>
                </c:pt>
                <c:pt idx="86">
                  <c:v>20</c:v>
                </c:pt>
                <c:pt idx="87">
                  <c:v>20</c:v>
                </c:pt>
                <c:pt idx="88">
                  <c:v>20</c:v>
                </c:pt>
                <c:pt idx="89">
                  <c:v>20</c:v>
                </c:pt>
                <c:pt idx="90">
                  <c:v>20</c:v>
                </c:pt>
                <c:pt idx="91">
                  <c:v>20</c:v>
                </c:pt>
                <c:pt idx="92">
                  <c:v>20</c:v>
                </c:pt>
                <c:pt idx="93">
                  <c:v>20</c:v>
                </c:pt>
                <c:pt idx="94">
                  <c:v>20</c:v>
                </c:pt>
                <c:pt idx="95">
                  <c:v>20</c:v>
                </c:pt>
                <c:pt idx="96">
                  <c:v>20</c:v>
                </c:pt>
                <c:pt idx="97">
                  <c:v>20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20</c:v>
                </c:pt>
                <c:pt idx="106">
                  <c:v>20</c:v>
                </c:pt>
                <c:pt idx="107">
                  <c:v>20</c:v>
                </c:pt>
                <c:pt idx="108">
                  <c:v>20</c:v>
                </c:pt>
                <c:pt idx="109">
                  <c:v>20</c:v>
                </c:pt>
                <c:pt idx="110">
                  <c:v>20</c:v>
                </c:pt>
                <c:pt idx="111">
                  <c:v>20</c:v>
                </c:pt>
                <c:pt idx="112">
                  <c:v>20</c:v>
                </c:pt>
                <c:pt idx="113">
                  <c:v>20</c:v>
                </c:pt>
                <c:pt idx="114">
                  <c:v>20</c:v>
                </c:pt>
                <c:pt idx="115">
                  <c:v>20</c:v>
                </c:pt>
                <c:pt idx="116">
                  <c:v>20</c:v>
                </c:pt>
                <c:pt idx="117">
                  <c:v>20</c:v>
                </c:pt>
                <c:pt idx="118">
                  <c:v>20</c:v>
                </c:pt>
                <c:pt idx="119">
                  <c:v>20</c:v>
                </c:pt>
                <c:pt idx="120">
                  <c:v>20</c:v>
                </c:pt>
                <c:pt idx="121">
                  <c:v>20</c:v>
                </c:pt>
                <c:pt idx="122">
                  <c:v>20</c:v>
                </c:pt>
                <c:pt idx="123">
                  <c:v>20</c:v>
                </c:pt>
                <c:pt idx="124">
                  <c:v>20</c:v>
                </c:pt>
                <c:pt idx="125">
                  <c:v>20</c:v>
                </c:pt>
                <c:pt idx="126">
                  <c:v>20</c:v>
                </c:pt>
                <c:pt idx="127">
                  <c:v>20</c:v>
                </c:pt>
                <c:pt idx="128">
                  <c:v>20</c:v>
                </c:pt>
                <c:pt idx="129">
                  <c:v>20</c:v>
                </c:pt>
                <c:pt idx="130">
                  <c:v>20</c:v>
                </c:pt>
                <c:pt idx="131">
                  <c:v>20</c:v>
                </c:pt>
                <c:pt idx="132">
                  <c:v>20</c:v>
                </c:pt>
                <c:pt idx="133">
                  <c:v>20</c:v>
                </c:pt>
                <c:pt idx="134">
                  <c:v>20</c:v>
                </c:pt>
                <c:pt idx="135">
                  <c:v>20</c:v>
                </c:pt>
                <c:pt idx="136">
                  <c:v>20</c:v>
                </c:pt>
                <c:pt idx="137">
                  <c:v>20</c:v>
                </c:pt>
                <c:pt idx="138">
                  <c:v>20</c:v>
                </c:pt>
                <c:pt idx="139">
                  <c:v>20</c:v>
                </c:pt>
                <c:pt idx="140">
                  <c:v>20</c:v>
                </c:pt>
                <c:pt idx="141">
                  <c:v>20</c:v>
                </c:pt>
                <c:pt idx="142">
                  <c:v>20</c:v>
                </c:pt>
                <c:pt idx="143">
                  <c:v>20</c:v>
                </c:pt>
                <c:pt idx="144">
                  <c:v>20</c:v>
                </c:pt>
                <c:pt idx="145">
                  <c:v>20</c:v>
                </c:pt>
                <c:pt idx="146">
                  <c:v>20</c:v>
                </c:pt>
                <c:pt idx="147">
                  <c:v>20</c:v>
                </c:pt>
                <c:pt idx="148">
                  <c:v>20</c:v>
                </c:pt>
                <c:pt idx="149">
                  <c:v>20</c:v>
                </c:pt>
                <c:pt idx="150">
                  <c:v>20</c:v>
                </c:pt>
                <c:pt idx="151">
                  <c:v>20</c:v>
                </c:pt>
                <c:pt idx="152">
                  <c:v>20</c:v>
                </c:pt>
                <c:pt idx="153">
                  <c:v>20</c:v>
                </c:pt>
                <c:pt idx="154">
                  <c:v>20</c:v>
                </c:pt>
                <c:pt idx="155">
                  <c:v>20</c:v>
                </c:pt>
                <c:pt idx="156">
                  <c:v>20</c:v>
                </c:pt>
                <c:pt idx="157">
                  <c:v>20</c:v>
                </c:pt>
                <c:pt idx="158">
                  <c:v>20</c:v>
                </c:pt>
                <c:pt idx="159">
                  <c:v>20</c:v>
                </c:pt>
                <c:pt idx="160">
                  <c:v>20</c:v>
                </c:pt>
                <c:pt idx="161">
                  <c:v>20</c:v>
                </c:pt>
                <c:pt idx="162">
                  <c:v>20</c:v>
                </c:pt>
                <c:pt idx="163">
                  <c:v>20</c:v>
                </c:pt>
                <c:pt idx="164">
                  <c:v>20</c:v>
                </c:pt>
                <c:pt idx="165">
                  <c:v>20</c:v>
                </c:pt>
                <c:pt idx="166">
                  <c:v>20</c:v>
                </c:pt>
                <c:pt idx="167">
                  <c:v>20</c:v>
                </c:pt>
                <c:pt idx="168">
                  <c:v>20</c:v>
                </c:pt>
                <c:pt idx="169">
                  <c:v>20</c:v>
                </c:pt>
                <c:pt idx="170">
                  <c:v>20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20</c:v>
                </c:pt>
                <c:pt idx="179">
                  <c:v>20</c:v>
                </c:pt>
                <c:pt idx="180">
                  <c:v>20</c:v>
                </c:pt>
                <c:pt idx="181">
                  <c:v>20</c:v>
                </c:pt>
                <c:pt idx="182">
                  <c:v>20</c:v>
                </c:pt>
                <c:pt idx="183">
                  <c:v>20</c:v>
                </c:pt>
                <c:pt idx="184">
                  <c:v>20</c:v>
                </c:pt>
                <c:pt idx="185">
                  <c:v>20</c:v>
                </c:pt>
                <c:pt idx="186">
                  <c:v>20</c:v>
                </c:pt>
                <c:pt idx="187">
                  <c:v>20</c:v>
                </c:pt>
                <c:pt idx="188">
                  <c:v>20</c:v>
                </c:pt>
                <c:pt idx="189">
                  <c:v>20</c:v>
                </c:pt>
                <c:pt idx="190">
                  <c:v>20</c:v>
                </c:pt>
                <c:pt idx="191">
                  <c:v>20</c:v>
                </c:pt>
                <c:pt idx="192">
                  <c:v>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851-AD46-99EA-4FEC32A5D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2702176"/>
        <c:axId val="664411088"/>
      </c:scatterChart>
      <c:valAx>
        <c:axId val="552702176"/>
        <c:scaling>
          <c:orientation val="minMax"/>
          <c:max val="96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l-PL" sz="1100">
                    <a:latin typeface="Arial" panose="020B0604020202020204" pitchFamily="34" charset="0"/>
                    <a:cs typeface="Arial" panose="020B0604020202020204" pitchFamily="34" charset="0"/>
                  </a:rPr>
                  <a:t>t</a:t>
                </a:r>
                <a:r>
                  <a:rPr lang="pl-PL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[h]</a:t>
                </a:r>
                <a:endParaRPr lang="en-US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87297261152581229"/>
              <c:y val="0.948730548730548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64411088"/>
        <c:crosses val="autoZero"/>
        <c:crossBetween val="midCat"/>
        <c:majorUnit val="8"/>
      </c:valAx>
      <c:valAx>
        <c:axId val="6644110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l-PL" sz="1100">
                    <a:latin typeface="Arial" panose="020B0604020202020204" pitchFamily="34" charset="0"/>
                    <a:cs typeface="Arial" panose="020B0604020202020204" pitchFamily="34" charset="0"/>
                  </a:rPr>
                  <a:t>C [mg/l]</a:t>
                </a:r>
              </a:p>
            </c:rich>
          </c:tx>
          <c:layout>
            <c:manualLayout>
              <c:xMode val="edge"/>
              <c:yMode val="edge"/>
              <c:x val="1.0571468861019766E-3"/>
              <c:y val="0.382755325117529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27021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30426843866127"/>
          <c:y val="0.1507600167865196"/>
          <c:w val="0.82684465782975658"/>
          <c:h val="0.6654725476388623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Result!$B$12</c:f>
              <c:strCache>
                <c:ptCount val="1"/>
                <c:pt idx="0">
                  <c:v>Case A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ChartDataHide!$B$4:$B$196</c:f>
              <c:numCache>
                <c:formatCode>General</c:formatCode>
                <c:ptCount val="19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</c:numCache>
            </c:numRef>
          </c:xVal>
          <c:yVal>
            <c:numRef>
              <c:f>ChartDataHide!$C$4:$C$196</c:f>
              <c:numCache>
                <c:formatCode>General</c:formatCode>
                <c:ptCount val="193"/>
                <c:pt idx="0">
                  <c:v>0</c:v>
                </c:pt>
                <c:pt idx="1">
                  <c:v>7.9453514988796883</c:v>
                </c:pt>
                <c:pt idx="2">
                  <c:v>9.3875966741194485</c:v>
                </c:pt>
                <c:pt idx="3">
                  <c:v>9.3925589049136651</c:v>
                </c:pt>
                <c:pt idx="4">
                  <c:v>9.0900037836092942</c:v>
                </c:pt>
                <c:pt idx="5">
                  <c:v>8.7314675150827092</c:v>
                </c:pt>
                <c:pt idx="6">
                  <c:v>8.3725496661905048</c:v>
                </c:pt>
                <c:pt idx="7">
                  <c:v>8.0251523064494439</c:v>
                </c:pt>
                <c:pt idx="8">
                  <c:v>7.6914482416236973</c:v>
                </c:pt>
                <c:pt idx="9">
                  <c:v>7.3714594787468348</c:v>
                </c:pt>
                <c:pt idx="10">
                  <c:v>7.0647473741568074</c:v>
                </c:pt>
                <c:pt idx="11">
                  <c:v>6.7707889552074914</c:v>
                </c:pt>
                <c:pt idx="12">
                  <c:v>6.4890601210435728</c:v>
                </c:pt>
                <c:pt idx="13">
                  <c:v>6.2190534712079035</c:v>
                </c:pt>
                <c:pt idx="14">
                  <c:v>5.9602815783710374</c:v>
                </c:pt>
                <c:pt idx="15">
                  <c:v>5.7122770425555531</c:v>
                </c:pt>
                <c:pt idx="16">
                  <c:v>5.4745918553437072</c:v>
                </c:pt>
                <c:pt idx="17">
                  <c:v>13.192148135959677</c:v>
                </c:pt>
                <c:pt idx="18">
                  <c:v>14.416076545691205</c:v>
                </c:pt>
                <c:pt idx="19">
                  <c:v>14.211806069906967</c:v>
                </c:pt>
                <c:pt idx="20">
                  <c:v>13.708724317531059</c:v>
                </c:pt>
                <c:pt idx="21">
                  <c:v>13.158005237699891</c:v>
                </c:pt>
                <c:pt idx="22">
                  <c:v>12.614901214815781</c:v>
                </c:pt>
                <c:pt idx="23">
                  <c:v>12.090981582039971</c:v>
                </c:pt>
                <c:pt idx="24">
                  <c:v>11.588100253785605</c:v>
                </c:pt>
                <c:pt idx="25">
                  <c:v>11.10597361465582</c:v>
                </c:pt>
                <c:pt idx="26">
                  <c:v>10.643870115365178</c:v>
                </c:pt>
                <c:pt idx="27">
                  <c:v>10.20098606531079</c:v>
                </c:pt>
                <c:pt idx="28">
                  <c:v>9.7765283262240796</c:v>
                </c:pt>
                <c:pt idx="29">
                  <c:v>9.369731654756162</c:v>
                </c:pt>
                <c:pt idx="30">
                  <c:v>8.9798615094085434</c:v>
                </c:pt>
                <c:pt idx="31">
                  <c:v>8.6062136583402982</c:v>
                </c:pt>
                <c:pt idx="32">
                  <c:v>8.2481131157337639</c:v>
                </c:pt>
                <c:pt idx="33">
                  <c:v>15.850264467837144</c:v>
                </c:pt>
                <c:pt idx="34">
                  <c:v>16.963589894408084</c:v>
                </c:pt>
                <c:pt idx="35">
                  <c:v>16.65331857410456</c:v>
                </c:pt>
                <c:pt idx="36">
                  <c:v>16.048646623004206</c:v>
                </c:pt>
                <c:pt idx="37">
                  <c:v>15.400564465325148</c:v>
                </c:pt>
                <c:pt idx="38">
                  <c:v>14.764148596937847</c:v>
                </c:pt>
                <c:pt idx="39">
                  <c:v>14.150799781111612</c:v>
                </c:pt>
                <c:pt idx="40">
                  <c:v>13.562210376482394</c:v>
                </c:pt>
                <c:pt idx="41">
                  <c:v>12.99794193413681</c:v>
                </c:pt>
                <c:pt idx="42">
                  <c:v>12.457114513823447</c:v>
                </c:pt>
                <c:pt idx="43">
                  <c:v>11.938782208452459</c:v>
                </c:pt>
                <c:pt idx="44">
                  <c:v>11.44201558083013</c:v>
                </c:pt>
                <c:pt idx="45">
                  <c:v>10.965918760017258</c:v>
                </c:pt>
                <c:pt idx="46">
                  <c:v>10.509632012278262</c:v>
                </c:pt>
                <c:pt idx="47">
                  <c:v>10.072331122725819</c:v>
                </c:pt>
                <c:pt idx="48">
                  <c:v>9.6532261149345899</c:v>
                </c:pt>
                <c:pt idx="49">
                  <c:v>17.196911369250763</c:v>
                </c:pt>
                <c:pt idx="50">
                  <c:v>18.254203445146221</c:v>
                </c:pt>
                <c:pt idx="51">
                  <c:v>17.890230295804123</c:v>
                </c:pt>
                <c:pt idx="52">
                  <c:v>17.234091023772169</c:v>
                </c:pt>
                <c:pt idx="53">
                  <c:v>16.536683076426353</c:v>
                </c:pt>
                <c:pt idx="54">
                  <c:v>15.852993841518142</c:v>
                </c:pt>
                <c:pt idx="55">
                  <c:v>15.194338681945194</c:v>
                </c:pt>
                <c:pt idx="56">
                  <c:v>14.562328109441509</c:v>
                </c:pt>
                <c:pt idx="57">
                  <c:v>13.956445233803247</c:v>
                </c:pt>
                <c:pt idx="58">
                  <c:v>13.375734937394128</c:v>
                </c:pt>
                <c:pt idx="59">
                  <c:v>12.819179263835416</c:v>
                </c:pt>
                <c:pt idx="60">
                  <c:v>12.285779724581872</c:v>
                </c:pt>
                <c:pt idx="61">
                  <c:v>11.774574270537375</c:v>
                </c:pt>
                <c:pt idx="62">
                  <c:v>11.284639743451709</c:v>
                </c:pt>
                <c:pt idx="63">
                  <c:v>10.815091142987477</c:v>
                </c:pt>
                <c:pt idx="64">
                  <c:v>10.365080236523509</c:v>
                </c:pt>
                <c:pt idx="65">
                  <c:v>17.879145572223369</c:v>
                </c:pt>
                <c:pt idx="66">
                  <c:v>18.908050200527452</c:v>
                </c:pt>
                <c:pt idx="67">
                  <c:v>18.516870792073302</c:v>
                </c:pt>
                <c:pt idx="68">
                  <c:v>17.834657300705864</c:v>
                </c:pt>
                <c:pt idx="69">
                  <c:v>17.11226007015302</c:v>
                </c:pt>
                <c:pt idx="70">
                  <c:v>16.40462134447899</c:v>
                </c:pt>
                <c:pt idx="71">
                  <c:v>15.723013221301997</c:v>
                </c:pt>
                <c:pt idx="72">
                  <c:v>15.069004747324746</c:v>
                </c:pt>
                <c:pt idx="73">
                  <c:v>14.442039292652755</c:v>
                </c:pt>
                <c:pt idx="74">
                  <c:v>13.841123653509111</c:v>
                </c:pt>
                <c:pt idx="75">
                  <c:v>13.265203372121048</c:v>
                </c:pt>
                <c:pt idx="76">
                  <c:v>12.713244977355307</c:v>
                </c:pt>
                <c:pt idx="77">
                  <c:v>12.184252893136934</c:v>
                </c:pt>
                <c:pt idx="78">
                  <c:v>11.677271829278883</c:v>
                </c:pt>
                <c:pt idx="79">
                  <c:v>11.191385990501841</c:v>
                </c:pt>
                <c:pt idx="80">
                  <c:v>10.725717630605937</c:v>
                </c:pt>
                <c:pt idx="81">
                  <c:v>18.22477701222229</c:v>
                </c:pt>
                <c:pt idx="82">
                  <c:v>19.239300077206689</c:v>
                </c:pt>
                <c:pt idx="83">
                  <c:v>18.834337515587677</c:v>
                </c:pt>
                <c:pt idx="84">
                  <c:v>18.138914381642209</c:v>
                </c:pt>
                <c:pt idx="85">
                  <c:v>17.403857155589652</c:v>
                </c:pt>
                <c:pt idx="86">
                  <c:v>16.684085210935152</c:v>
                </c:pt>
                <c:pt idx="87">
                  <c:v>15.990848726371203</c:v>
                </c:pt>
                <c:pt idx="88">
                  <c:v>15.325695741711062</c:v>
                </c:pt>
                <c:pt idx="89">
                  <c:v>14.688049494257687</c:v>
                </c:pt>
                <c:pt idx="90">
                  <c:v>14.076897485148169</c:v>
                </c:pt>
                <c:pt idx="91">
                  <c:v>13.491166764383259</c:v>
                </c:pt>
                <c:pt idx="92">
                  <c:v>12.929806138056179</c:v>
                </c:pt>
                <c:pt idx="93">
                  <c:v>12.3918030447548</c:v>
                </c:pt>
                <c:pt idx="94">
                  <c:v>11.876185915706875</c:v>
                </c:pt>
                <c:pt idx="95">
                  <c:v>11.382023354392237</c:v>
                </c:pt>
                <c:pt idx="96">
                  <c:v>10.908422662530537</c:v>
                </c:pt>
                <c:pt idx="97">
                  <c:v>18.399879772821528</c:v>
                </c:pt>
                <c:pt idx="98">
                  <c:v>19.407116893451395</c:v>
                </c:pt>
                <c:pt idx="99">
                  <c:v>18.995171552230683</c:v>
                </c:pt>
                <c:pt idx="100">
                  <c:v>18.293056188892116</c:v>
                </c:pt>
                <c:pt idx="101">
                  <c:v>17.551585193996125</c:v>
                </c:pt>
                <c:pt idx="102">
                  <c:v>16.825666354434034</c:v>
                </c:pt>
                <c:pt idx="103">
                  <c:v>16.126538744398083</c:v>
                </c:pt>
                <c:pt idx="104">
                  <c:v>15.455739761254389</c:v>
                </c:pt>
                <c:pt idx="105">
                  <c:v>14.812682442686034</c:v>
                </c:pt>
                <c:pt idx="106">
                  <c:v>14.196344514611654</c:v>
                </c:pt>
                <c:pt idx="107">
                  <c:v>13.60564365855587</c:v>
                </c:pt>
                <c:pt idx="108">
                  <c:v>13.039519701953656</c:v>
                </c:pt>
                <c:pt idx="109">
                  <c:v>12.496951478332468</c:v>
                </c:pt>
                <c:pt idx="110">
                  <c:v>11.976959171912172</c:v>
                </c:pt>
                <c:pt idx="111">
                  <c:v>11.478603482318892</c:v>
                </c:pt>
                <c:pt idx="112">
                  <c:v>11.000984136294239</c:v>
                </c:pt>
                <c:pt idx="113">
                  <c:v>18.488589806751225</c:v>
                </c:pt>
                <c:pt idx="114">
                  <c:v>19.492135744165658</c:v>
                </c:pt>
                <c:pt idx="115">
                  <c:v>19.076652808144782</c:v>
                </c:pt>
                <c:pt idx="116">
                  <c:v>18.371147047678861</c:v>
                </c:pt>
                <c:pt idx="117">
                  <c:v>17.626426728501688</c:v>
                </c:pt>
                <c:pt idx="118">
                  <c:v>16.897393767529117</c:v>
                </c:pt>
                <c:pt idx="119">
                  <c:v>16.195281613224893</c:v>
                </c:pt>
                <c:pt idx="120">
                  <c:v>15.521622271310559</c:v>
                </c:pt>
                <c:pt idx="121">
                  <c:v>14.875823612168457</c:v>
                </c:pt>
                <c:pt idx="122">
                  <c:v>14.256858409425455</c:v>
                </c:pt>
                <c:pt idx="123">
                  <c:v>13.663639598376948</c:v>
                </c:pt>
                <c:pt idx="124">
                  <c:v>13.095102457717106</c:v>
                </c:pt>
                <c:pt idx="125">
                  <c:v>12.550221461503538</c:v>
                </c:pt>
                <c:pt idx="126">
                  <c:v>12.028012615881787</c:v>
                </c:pt>
                <c:pt idx="127">
                  <c:v>11.527532616251381</c:v>
                </c:pt>
                <c:pt idx="128">
                  <c:v>11.047877351741331</c:v>
                </c:pt>
                <c:pt idx="129">
                  <c:v>18.533531817333333</c:v>
                </c:pt>
                <c:pt idx="130">
                  <c:v>19.535207738608896</c:v>
                </c:pt>
                <c:pt idx="131">
                  <c:v>19.117932596950151</c:v>
                </c:pt>
                <c:pt idx="132">
                  <c:v>18.410709203688647</c:v>
                </c:pt>
                <c:pt idx="133">
                  <c:v>17.664342721616915</c:v>
                </c:pt>
                <c:pt idx="134">
                  <c:v>16.933732093821511</c:v>
                </c:pt>
                <c:pt idx="135">
                  <c:v>16.230107918676513</c:v>
                </c:pt>
                <c:pt idx="136">
                  <c:v>15.554999470404711</c:v>
                </c:pt>
                <c:pt idx="137">
                  <c:v>14.907812001546088</c:v>
                </c:pt>
                <c:pt idx="138">
                  <c:v>14.287515776812345</c:v>
                </c:pt>
                <c:pt idx="139">
                  <c:v>13.693021326978521</c:v>
                </c:pt>
                <c:pt idx="140">
                  <c:v>13.123261626269375</c:v>
                </c:pt>
                <c:pt idx="141">
                  <c:v>12.577208940161029</c:v>
                </c:pt>
                <c:pt idx="142">
                  <c:v>12.053877158115577</c:v>
                </c:pt>
                <c:pt idx="143">
                  <c:v>11.552320946923309</c:v>
                </c:pt>
                <c:pt idx="144">
                  <c:v>11.071634251513487</c:v>
                </c:pt>
                <c:pt idx="145">
                  <c:v>18.556300203565307</c:v>
                </c:pt>
                <c:pt idx="146">
                  <c:v>19.557028742888921</c:v>
                </c:pt>
                <c:pt idx="147">
                  <c:v>19.138845639400216</c:v>
                </c:pt>
                <c:pt idx="148">
                  <c:v>18.430752064177824</c:v>
                </c:pt>
                <c:pt idx="149">
                  <c:v>17.683551608011513</c:v>
                </c:pt>
                <c:pt idx="150">
                  <c:v>16.952141707395363</c:v>
                </c:pt>
                <c:pt idx="151">
                  <c:v>16.247751516799617</c:v>
                </c:pt>
                <c:pt idx="152">
                  <c:v>15.571908926623381</c:v>
                </c:pt>
                <c:pt idx="153">
                  <c:v>14.924017863163202</c:v>
                </c:pt>
                <c:pt idx="154">
                  <c:v>14.303047320071741</c:v>
                </c:pt>
                <c:pt idx="155">
                  <c:v>13.707906609953152</c:v>
                </c:pt>
                <c:pt idx="156">
                  <c:v>13.137527539548843</c:v>
                </c:pt>
                <c:pt idx="157">
                  <c:v>12.59088125543002</c:v>
                </c:pt>
                <c:pt idx="158">
                  <c:v>12.066980574710973</c:v>
                </c:pt>
                <c:pt idx="159">
                  <c:v>11.564879136454087</c:v>
                </c:pt>
                <c:pt idx="160">
                  <c:v>11.083669900623992</c:v>
                </c:pt>
                <c:pt idx="161">
                  <c:v>18.567835054919168</c:v>
                </c:pt>
                <c:pt idx="162">
                  <c:v>19.56808363444766</c:v>
                </c:pt>
                <c:pt idx="163">
                  <c:v>19.149440542067481</c:v>
                </c:pt>
                <c:pt idx="164">
                  <c:v>18.440906117877255</c:v>
                </c:pt>
                <c:pt idx="165">
                  <c:v>17.69328315626343</c:v>
                </c:pt>
                <c:pt idx="166">
                  <c:v>16.961468330454764</c:v>
                </c:pt>
                <c:pt idx="167">
                  <c:v>16.256690063415252</c:v>
                </c:pt>
                <c:pt idx="168">
                  <c:v>15.580475544475421</c:v>
                </c:pt>
                <c:pt idx="169">
                  <c:v>14.932228028034361</c:v>
                </c:pt>
                <c:pt idx="170">
                  <c:v>14.310915863804613</c:v>
                </c:pt>
                <c:pt idx="171">
                  <c:v>13.715447747244268</c:v>
                </c:pt>
                <c:pt idx="172">
                  <c:v>13.144754893627837</c:v>
                </c:pt>
                <c:pt idx="173">
                  <c:v>12.597807882670271</c:v>
                </c:pt>
                <c:pt idx="174">
                  <c:v>12.073618988216248</c:v>
                </c:pt>
                <c:pt idx="175">
                  <c:v>11.571241328663726</c:v>
                </c:pt>
                <c:pt idx="176">
                  <c:v>11.089767364977522</c:v>
                </c:pt>
                <c:pt idx="177">
                  <c:v>18.573678806619444</c:v>
                </c:pt>
                <c:pt idx="178">
                  <c:v>19.573684230360072</c:v>
                </c:pt>
                <c:pt idx="179">
                  <c:v>19.154808099791175</c:v>
                </c:pt>
                <c:pt idx="180">
                  <c:v>18.446050334022775</c:v>
                </c:pt>
                <c:pt idx="181">
                  <c:v>17.698213323969878</c:v>
                </c:pt>
                <c:pt idx="182">
                  <c:v>16.966193356178042</c:v>
                </c:pt>
                <c:pt idx="183">
                  <c:v>16.261218483017785</c:v>
                </c:pt>
                <c:pt idx="184">
                  <c:v>15.584815538646367</c:v>
                </c:pt>
                <c:pt idx="185">
                  <c:v>14.936387437068211</c:v>
                </c:pt>
                <c:pt idx="186">
                  <c:v>14.314902201764857</c:v>
                </c:pt>
                <c:pt idx="187">
                  <c:v>13.71926821553771</c:v>
                </c:pt>
                <c:pt idx="188">
                  <c:v>13.148416394014095</c:v>
                </c:pt>
                <c:pt idx="189">
                  <c:v>12.601317029729961</c:v>
                </c:pt>
                <c:pt idx="190">
                  <c:v>12.076982121300366</c:v>
                </c:pt>
                <c:pt idx="191">
                  <c:v>11.574464523345823</c:v>
                </c:pt>
                <c:pt idx="192">
                  <c:v>11.09285644402936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B29-754E-BCDC-2A15703E18DF}"/>
            </c:ext>
          </c:extLst>
        </c:ser>
        <c:ser>
          <c:idx val="3"/>
          <c:order val="1"/>
          <c:tx>
            <c:strRef>
              <c:f>ChartDataHide!$F$1</c:f>
              <c:strCache>
                <c:ptCount val="1"/>
                <c:pt idx="0">
                  <c:v>Cmin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ChartDataHide!$B$4:$B$196</c:f>
              <c:numCache>
                <c:formatCode>General</c:formatCode>
                <c:ptCount val="19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</c:numCache>
            </c:numRef>
          </c:xVal>
          <c:yVal>
            <c:numRef>
              <c:f>ChartDataHide!$F$4:$F$196</c:f>
              <c:numCache>
                <c:formatCode>General</c:formatCode>
                <c:ptCount val="19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10</c:v>
                </c:pt>
                <c:pt idx="52">
                  <c:v>10</c:v>
                </c:pt>
                <c:pt idx="53">
                  <c:v>10</c:v>
                </c:pt>
                <c:pt idx="54">
                  <c:v>10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10</c:v>
                </c:pt>
                <c:pt idx="62">
                  <c:v>10</c:v>
                </c:pt>
                <c:pt idx="63">
                  <c:v>10</c:v>
                </c:pt>
                <c:pt idx="64">
                  <c:v>10</c:v>
                </c:pt>
                <c:pt idx="65">
                  <c:v>10</c:v>
                </c:pt>
                <c:pt idx="66">
                  <c:v>10</c:v>
                </c:pt>
                <c:pt idx="67">
                  <c:v>10</c:v>
                </c:pt>
                <c:pt idx="68">
                  <c:v>10</c:v>
                </c:pt>
                <c:pt idx="69">
                  <c:v>10</c:v>
                </c:pt>
                <c:pt idx="70">
                  <c:v>10</c:v>
                </c:pt>
                <c:pt idx="71">
                  <c:v>10</c:v>
                </c:pt>
                <c:pt idx="72">
                  <c:v>10</c:v>
                </c:pt>
                <c:pt idx="73">
                  <c:v>10</c:v>
                </c:pt>
                <c:pt idx="74">
                  <c:v>10</c:v>
                </c:pt>
                <c:pt idx="75">
                  <c:v>10</c:v>
                </c:pt>
                <c:pt idx="76">
                  <c:v>10</c:v>
                </c:pt>
                <c:pt idx="77">
                  <c:v>10</c:v>
                </c:pt>
                <c:pt idx="78">
                  <c:v>10</c:v>
                </c:pt>
                <c:pt idx="79">
                  <c:v>10</c:v>
                </c:pt>
                <c:pt idx="80">
                  <c:v>10</c:v>
                </c:pt>
                <c:pt idx="81">
                  <c:v>10</c:v>
                </c:pt>
                <c:pt idx="82">
                  <c:v>10</c:v>
                </c:pt>
                <c:pt idx="83">
                  <c:v>10</c:v>
                </c:pt>
                <c:pt idx="84">
                  <c:v>10</c:v>
                </c:pt>
                <c:pt idx="85">
                  <c:v>10</c:v>
                </c:pt>
                <c:pt idx="86">
                  <c:v>10</c:v>
                </c:pt>
                <c:pt idx="87">
                  <c:v>10</c:v>
                </c:pt>
                <c:pt idx="88">
                  <c:v>10</c:v>
                </c:pt>
                <c:pt idx="89">
                  <c:v>10</c:v>
                </c:pt>
                <c:pt idx="90">
                  <c:v>10</c:v>
                </c:pt>
                <c:pt idx="91">
                  <c:v>10</c:v>
                </c:pt>
                <c:pt idx="92">
                  <c:v>10</c:v>
                </c:pt>
                <c:pt idx="93">
                  <c:v>10</c:v>
                </c:pt>
                <c:pt idx="94">
                  <c:v>10</c:v>
                </c:pt>
                <c:pt idx="95">
                  <c:v>10</c:v>
                </c:pt>
                <c:pt idx="96">
                  <c:v>10</c:v>
                </c:pt>
                <c:pt idx="97">
                  <c:v>10</c:v>
                </c:pt>
                <c:pt idx="98">
                  <c:v>10</c:v>
                </c:pt>
                <c:pt idx="99">
                  <c:v>10</c:v>
                </c:pt>
                <c:pt idx="100">
                  <c:v>10</c:v>
                </c:pt>
                <c:pt idx="101">
                  <c:v>10</c:v>
                </c:pt>
                <c:pt idx="102">
                  <c:v>10</c:v>
                </c:pt>
                <c:pt idx="103">
                  <c:v>10</c:v>
                </c:pt>
                <c:pt idx="104">
                  <c:v>10</c:v>
                </c:pt>
                <c:pt idx="105">
                  <c:v>10</c:v>
                </c:pt>
                <c:pt idx="106">
                  <c:v>10</c:v>
                </c:pt>
                <c:pt idx="107">
                  <c:v>10</c:v>
                </c:pt>
                <c:pt idx="108">
                  <c:v>10</c:v>
                </c:pt>
                <c:pt idx="109">
                  <c:v>10</c:v>
                </c:pt>
                <c:pt idx="110">
                  <c:v>10</c:v>
                </c:pt>
                <c:pt idx="111">
                  <c:v>10</c:v>
                </c:pt>
                <c:pt idx="112">
                  <c:v>10</c:v>
                </c:pt>
                <c:pt idx="113">
                  <c:v>10</c:v>
                </c:pt>
                <c:pt idx="114">
                  <c:v>10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10</c:v>
                </c:pt>
                <c:pt idx="120">
                  <c:v>10</c:v>
                </c:pt>
                <c:pt idx="121">
                  <c:v>10</c:v>
                </c:pt>
                <c:pt idx="122">
                  <c:v>10</c:v>
                </c:pt>
                <c:pt idx="123">
                  <c:v>10</c:v>
                </c:pt>
                <c:pt idx="124">
                  <c:v>10</c:v>
                </c:pt>
                <c:pt idx="125">
                  <c:v>10</c:v>
                </c:pt>
                <c:pt idx="126">
                  <c:v>10</c:v>
                </c:pt>
                <c:pt idx="127">
                  <c:v>10</c:v>
                </c:pt>
                <c:pt idx="128">
                  <c:v>10</c:v>
                </c:pt>
                <c:pt idx="129">
                  <c:v>10</c:v>
                </c:pt>
                <c:pt idx="130">
                  <c:v>10</c:v>
                </c:pt>
                <c:pt idx="131">
                  <c:v>10</c:v>
                </c:pt>
                <c:pt idx="132">
                  <c:v>10</c:v>
                </c:pt>
                <c:pt idx="133">
                  <c:v>10</c:v>
                </c:pt>
                <c:pt idx="134">
                  <c:v>10</c:v>
                </c:pt>
                <c:pt idx="135">
                  <c:v>10</c:v>
                </c:pt>
                <c:pt idx="136">
                  <c:v>10</c:v>
                </c:pt>
                <c:pt idx="137">
                  <c:v>10</c:v>
                </c:pt>
                <c:pt idx="138">
                  <c:v>10</c:v>
                </c:pt>
                <c:pt idx="139">
                  <c:v>10</c:v>
                </c:pt>
                <c:pt idx="140">
                  <c:v>10</c:v>
                </c:pt>
                <c:pt idx="141">
                  <c:v>10</c:v>
                </c:pt>
                <c:pt idx="142">
                  <c:v>10</c:v>
                </c:pt>
                <c:pt idx="143">
                  <c:v>10</c:v>
                </c:pt>
                <c:pt idx="144">
                  <c:v>10</c:v>
                </c:pt>
                <c:pt idx="145">
                  <c:v>10</c:v>
                </c:pt>
                <c:pt idx="146">
                  <c:v>10</c:v>
                </c:pt>
                <c:pt idx="147">
                  <c:v>10</c:v>
                </c:pt>
                <c:pt idx="148">
                  <c:v>10</c:v>
                </c:pt>
                <c:pt idx="149">
                  <c:v>10</c:v>
                </c:pt>
                <c:pt idx="150">
                  <c:v>10</c:v>
                </c:pt>
                <c:pt idx="151">
                  <c:v>10</c:v>
                </c:pt>
                <c:pt idx="152">
                  <c:v>10</c:v>
                </c:pt>
                <c:pt idx="153">
                  <c:v>10</c:v>
                </c:pt>
                <c:pt idx="154">
                  <c:v>10</c:v>
                </c:pt>
                <c:pt idx="155">
                  <c:v>10</c:v>
                </c:pt>
                <c:pt idx="156">
                  <c:v>10</c:v>
                </c:pt>
                <c:pt idx="157">
                  <c:v>10</c:v>
                </c:pt>
                <c:pt idx="158">
                  <c:v>10</c:v>
                </c:pt>
                <c:pt idx="159">
                  <c:v>10</c:v>
                </c:pt>
                <c:pt idx="160">
                  <c:v>10</c:v>
                </c:pt>
                <c:pt idx="161">
                  <c:v>10</c:v>
                </c:pt>
                <c:pt idx="162">
                  <c:v>10</c:v>
                </c:pt>
                <c:pt idx="163">
                  <c:v>10</c:v>
                </c:pt>
                <c:pt idx="164">
                  <c:v>10</c:v>
                </c:pt>
                <c:pt idx="165">
                  <c:v>10</c:v>
                </c:pt>
                <c:pt idx="166">
                  <c:v>10</c:v>
                </c:pt>
                <c:pt idx="167">
                  <c:v>10</c:v>
                </c:pt>
                <c:pt idx="168">
                  <c:v>10</c:v>
                </c:pt>
                <c:pt idx="169">
                  <c:v>10</c:v>
                </c:pt>
                <c:pt idx="170">
                  <c:v>10</c:v>
                </c:pt>
                <c:pt idx="171">
                  <c:v>10</c:v>
                </c:pt>
                <c:pt idx="172">
                  <c:v>10</c:v>
                </c:pt>
                <c:pt idx="173">
                  <c:v>10</c:v>
                </c:pt>
                <c:pt idx="174">
                  <c:v>10</c:v>
                </c:pt>
                <c:pt idx="175">
                  <c:v>10</c:v>
                </c:pt>
                <c:pt idx="176">
                  <c:v>10</c:v>
                </c:pt>
                <c:pt idx="177">
                  <c:v>10</c:v>
                </c:pt>
                <c:pt idx="178">
                  <c:v>10</c:v>
                </c:pt>
                <c:pt idx="179">
                  <c:v>10</c:v>
                </c:pt>
                <c:pt idx="180">
                  <c:v>10</c:v>
                </c:pt>
                <c:pt idx="181">
                  <c:v>10</c:v>
                </c:pt>
                <c:pt idx="182">
                  <c:v>10</c:v>
                </c:pt>
                <c:pt idx="183">
                  <c:v>10</c:v>
                </c:pt>
                <c:pt idx="184">
                  <c:v>10</c:v>
                </c:pt>
                <c:pt idx="185">
                  <c:v>10</c:v>
                </c:pt>
                <c:pt idx="186">
                  <c:v>10</c:v>
                </c:pt>
                <c:pt idx="187">
                  <c:v>10</c:v>
                </c:pt>
                <c:pt idx="188">
                  <c:v>10</c:v>
                </c:pt>
                <c:pt idx="189">
                  <c:v>10</c:v>
                </c:pt>
                <c:pt idx="190">
                  <c:v>10</c:v>
                </c:pt>
                <c:pt idx="191">
                  <c:v>10</c:v>
                </c:pt>
                <c:pt idx="192">
                  <c:v>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B29-754E-BCDC-2A15703E18DF}"/>
            </c:ext>
          </c:extLst>
        </c:ser>
        <c:ser>
          <c:idx val="4"/>
          <c:order val="2"/>
          <c:tx>
            <c:strRef>
              <c:f>ChartDataHide!$G$1</c:f>
              <c:strCache>
                <c:ptCount val="1"/>
                <c:pt idx="0">
                  <c:v>Cmax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ChartDataHide!$B$4:$B$196</c:f>
              <c:numCache>
                <c:formatCode>General</c:formatCode>
                <c:ptCount val="19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</c:numCache>
            </c:numRef>
          </c:xVal>
          <c:yVal>
            <c:numRef>
              <c:f>ChartDataHide!$G$4:$G$196</c:f>
              <c:numCache>
                <c:formatCode>General</c:formatCode>
                <c:ptCount val="19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20</c:v>
                </c:pt>
                <c:pt idx="27">
                  <c:v>20</c:v>
                </c:pt>
                <c:pt idx="28">
                  <c:v>20</c:v>
                </c:pt>
                <c:pt idx="29">
                  <c:v>20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20</c:v>
                </c:pt>
                <c:pt idx="82">
                  <c:v>20</c:v>
                </c:pt>
                <c:pt idx="83">
                  <c:v>20</c:v>
                </c:pt>
                <c:pt idx="84">
                  <c:v>20</c:v>
                </c:pt>
                <c:pt idx="85">
                  <c:v>20</c:v>
                </c:pt>
                <c:pt idx="86">
                  <c:v>20</c:v>
                </c:pt>
                <c:pt idx="87">
                  <c:v>20</c:v>
                </c:pt>
                <c:pt idx="88">
                  <c:v>20</c:v>
                </c:pt>
                <c:pt idx="89">
                  <c:v>20</c:v>
                </c:pt>
                <c:pt idx="90">
                  <c:v>20</c:v>
                </c:pt>
                <c:pt idx="91">
                  <c:v>20</c:v>
                </c:pt>
                <c:pt idx="92">
                  <c:v>20</c:v>
                </c:pt>
                <c:pt idx="93">
                  <c:v>20</c:v>
                </c:pt>
                <c:pt idx="94">
                  <c:v>20</c:v>
                </c:pt>
                <c:pt idx="95">
                  <c:v>20</c:v>
                </c:pt>
                <c:pt idx="96">
                  <c:v>20</c:v>
                </c:pt>
                <c:pt idx="97">
                  <c:v>20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20</c:v>
                </c:pt>
                <c:pt idx="106">
                  <c:v>20</c:v>
                </c:pt>
                <c:pt idx="107">
                  <c:v>20</c:v>
                </c:pt>
                <c:pt idx="108">
                  <c:v>20</c:v>
                </c:pt>
                <c:pt idx="109">
                  <c:v>20</c:v>
                </c:pt>
                <c:pt idx="110">
                  <c:v>20</c:v>
                </c:pt>
                <c:pt idx="111">
                  <c:v>20</c:v>
                </c:pt>
                <c:pt idx="112">
                  <c:v>20</c:v>
                </c:pt>
                <c:pt idx="113">
                  <c:v>20</c:v>
                </c:pt>
                <c:pt idx="114">
                  <c:v>20</c:v>
                </c:pt>
                <c:pt idx="115">
                  <c:v>20</c:v>
                </c:pt>
                <c:pt idx="116">
                  <c:v>20</c:v>
                </c:pt>
                <c:pt idx="117">
                  <c:v>20</c:v>
                </c:pt>
                <c:pt idx="118">
                  <c:v>20</c:v>
                </c:pt>
                <c:pt idx="119">
                  <c:v>20</c:v>
                </c:pt>
                <c:pt idx="120">
                  <c:v>20</c:v>
                </c:pt>
                <c:pt idx="121">
                  <c:v>20</c:v>
                </c:pt>
                <c:pt idx="122">
                  <c:v>20</c:v>
                </c:pt>
                <c:pt idx="123">
                  <c:v>20</c:v>
                </c:pt>
                <c:pt idx="124">
                  <c:v>20</c:v>
                </c:pt>
                <c:pt idx="125">
                  <c:v>20</c:v>
                </c:pt>
                <c:pt idx="126">
                  <c:v>20</c:v>
                </c:pt>
                <c:pt idx="127">
                  <c:v>20</c:v>
                </c:pt>
                <c:pt idx="128">
                  <c:v>20</c:v>
                </c:pt>
                <c:pt idx="129">
                  <c:v>20</c:v>
                </c:pt>
                <c:pt idx="130">
                  <c:v>20</c:v>
                </c:pt>
                <c:pt idx="131">
                  <c:v>20</c:v>
                </c:pt>
                <c:pt idx="132">
                  <c:v>20</c:v>
                </c:pt>
                <c:pt idx="133">
                  <c:v>20</c:v>
                </c:pt>
                <c:pt idx="134">
                  <c:v>20</c:v>
                </c:pt>
                <c:pt idx="135">
                  <c:v>20</c:v>
                </c:pt>
                <c:pt idx="136">
                  <c:v>20</c:v>
                </c:pt>
                <c:pt idx="137">
                  <c:v>20</c:v>
                </c:pt>
                <c:pt idx="138">
                  <c:v>20</c:v>
                </c:pt>
                <c:pt idx="139">
                  <c:v>20</c:v>
                </c:pt>
                <c:pt idx="140">
                  <c:v>20</c:v>
                </c:pt>
                <c:pt idx="141">
                  <c:v>20</c:v>
                </c:pt>
                <c:pt idx="142">
                  <c:v>20</c:v>
                </c:pt>
                <c:pt idx="143">
                  <c:v>20</c:v>
                </c:pt>
                <c:pt idx="144">
                  <c:v>20</c:v>
                </c:pt>
                <c:pt idx="145">
                  <c:v>20</c:v>
                </c:pt>
                <c:pt idx="146">
                  <c:v>20</c:v>
                </c:pt>
                <c:pt idx="147">
                  <c:v>20</c:v>
                </c:pt>
                <c:pt idx="148">
                  <c:v>20</c:v>
                </c:pt>
                <c:pt idx="149">
                  <c:v>20</c:v>
                </c:pt>
                <c:pt idx="150">
                  <c:v>20</c:v>
                </c:pt>
                <c:pt idx="151">
                  <c:v>20</c:v>
                </c:pt>
                <c:pt idx="152">
                  <c:v>20</c:v>
                </c:pt>
                <c:pt idx="153">
                  <c:v>20</c:v>
                </c:pt>
                <c:pt idx="154">
                  <c:v>20</c:v>
                </c:pt>
                <c:pt idx="155">
                  <c:v>20</c:v>
                </c:pt>
                <c:pt idx="156">
                  <c:v>20</c:v>
                </c:pt>
                <c:pt idx="157">
                  <c:v>20</c:v>
                </c:pt>
                <c:pt idx="158">
                  <c:v>20</c:v>
                </c:pt>
                <c:pt idx="159">
                  <c:v>20</c:v>
                </c:pt>
                <c:pt idx="160">
                  <c:v>20</c:v>
                </c:pt>
                <c:pt idx="161">
                  <c:v>20</c:v>
                </c:pt>
                <c:pt idx="162">
                  <c:v>20</c:v>
                </c:pt>
                <c:pt idx="163">
                  <c:v>20</c:v>
                </c:pt>
                <c:pt idx="164">
                  <c:v>20</c:v>
                </c:pt>
                <c:pt idx="165">
                  <c:v>20</c:v>
                </c:pt>
                <c:pt idx="166">
                  <c:v>20</c:v>
                </c:pt>
                <c:pt idx="167">
                  <c:v>20</c:v>
                </c:pt>
                <c:pt idx="168">
                  <c:v>20</c:v>
                </c:pt>
                <c:pt idx="169">
                  <c:v>20</c:v>
                </c:pt>
                <c:pt idx="170">
                  <c:v>20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20</c:v>
                </c:pt>
                <c:pt idx="179">
                  <c:v>20</c:v>
                </c:pt>
                <c:pt idx="180">
                  <c:v>20</c:v>
                </c:pt>
                <c:pt idx="181">
                  <c:v>20</c:v>
                </c:pt>
                <c:pt idx="182">
                  <c:v>20</c:v>
                </c:pt>
                <c:pt idx="183">
                  <c:v>20</c:v>
                </c:pt>
                <c:pt idx="184">
                  <c:v>20</c:v>
                </c:pt>
                <c:pt idx="185">
                  <c:v>20</c:v>
                </c:pt>
                <c:pt idx="186">
                  <c:v>20</c:v>
                </c:pt>
                <c:pt idx="187">
                  <c:v>20</c:v>
                </c:pt>
                <c:pt idx="188">
                  <c:v>20</c:v>
                </c:pt>
                <c:pt idx="189">
                  <c:v>20</c:v>
                </c:pt>
                <c:pt idx="190">
                  <c:v>20</c:v>
                </c:pt>
                <c:pt idx="191">
                  <c:v>20</c:v>
                </c:pt>
                <c:pt idx="192">
                  <c:v>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B29-754E-BCDC-2A15703E1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2850056"/>
        <c:axId val="552850840"/>
      </c:scatterChart>
      <c:valAx>
        <c:axId val="552850056"/>
        <c:scaling>
          <c:orientation val="minMax"/>
          <c:max val="96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l-PL" sz="1100">
                    <a:latin typeface="Arial" panose="020B0604020202020204" pitchFamily="34" charset="0"/>
                    <a:cs typeface="Arial" panose="020B0604020202020204" pitchFamily="34" charset="0"/>
                  </a:rPr>
                  <a:t>t</a:t>
                </a:r>
                <a:r>
                  <a:rPr lang="pl-PL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[h]</a:t>
                </a:r>
                <a:endParaRPr lang="en-US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86604020251368063"/>
              <c:y val="0.89885198011182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2850840"/>
        <c:crosses val="autoZero"/>
        <c:crossBetween val="midCat"/>
        <c:majorUnit val="8"/>
      </c:valAx>
      <c:valAx>
        <c:axId val="5528508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l-PL" sz="1100">
                    <a:latin typeface="Arial" panose="020B0604020202020204" pitchFamily="34" charset="0"/>
                    <a:cs typeface="Arial" panose="020B0604020202020204" pitchFamily="34" charset="0"/>
                  </a:rPr>
                  <a:t>C [mg/l]</a:t>
                </a:r>
              </a:p>
            </c:rich>
          </c:tx>
          <c:layout>
            <c:manualLayout>
              <c:xMode val="edge"/>
              <c:yMode val="edge"/>
              <c:x val="1.0571468861019766E-3"/>
              <c:y val="0.382755325117529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28500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0.36585</cdr:x>
      <cdr:y>0.1069</cdr:y>
    </cdr:from>
    <cdr:to>
      <cdr:x>0.72927</cdr:x>
      <cdr:y>0.20345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428749" y="295275"/>
          <a:ext cx="14192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fld id="{49ADFA57-AB60-41B7-9B6D-13E352712D29}" type="TxLink">
            <a:rPr lang="pl-PL" sz="1100" b="0" i="0" u="none" strike="noStrike">
              <a:solidFill>
                <a:srgbClr val="000000"/>
              </a:solidFill>
              <a:latin typeface="Czcionka tekstu podstawowego"/>
            </a:rPr>
            <a:pPr/>
            <a:t> </a:t>
          </a:fld>
          <a:endParaRPr lang="pl-PL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0.36585</cdr:x>
      <cdr:y>0.1069</cdr:y>
    </cdr:from>
    <cdr:to>
      <cdr:x>0.72927</cdr:x>
      <cdr:y>0.20345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428749" y="295275"/>
          <a:ext cx="14192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fld id="{49ADFA57-AB60-41B7-9B6D-13E352712D29}" type="TxLink">
            <a:rPr lang="pl-PL" sz="1100" b="0" i="0" u="none" strike="noStrike">
              <a:solidFill>
                <a:srgbClr val="000000"/>
              </a:solidFill>
              <a:latin typeface="Czcionka tekstu podstawowego"/>
            </a:rPr>
            <a:pPr/>
            <a:t> </a:t>
          </a:fld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B6D4-C705-4AF1-9C13-9B483E41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2327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Karaźniewicz-Łada</dc:creator>
  <cp:keywords/>
  <dc:description/>
  <cp:lastModifiedBy>Marta Karaźniewicz-Łada</cp:lastModifiedBy>
  <cp:revision>3</cp:revision>
  <dcterms:created xsi:type="dcterms:W3CDTF">2022-11-17T22:24:00Z</dcterms:created>
  <dcterms:modified xsi:type="dcterms:W3CDTF">2022-11-18T10:31:00Z</dcterms:modified>
</cp:coreProperties>
</file>